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60674" w14:textId="5FDC0397" w:rsidR="002773CF" w:rsidRPr="0033027D" w:rsidRDefault="002773CF" w:rsidP="002773CF">
      <w:pPr>
        <w:pStyle w:val="CRCoverPage"/>
        <w:tabs>
          <w:tab w:val="right" w:pos="9639"/>
        </w:tabs>
        <w:spacing w:after="0"/>
        <w:rPr>
          <w:b/>
          <w:noProof/>
          <w:sz w:val="24"/>
          <w:lang w:eastAsia="ja-JP"/>
        </w:rPr>
      </w:pPr>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#9</w:t>
      </w:r>
      <w:r w:rsidR="00EB16E1">
        <w:rPr>
          <w:b/>
          <w:noProof/>
          <w:sz w:val="24"/>
        </w:rPr>
        <w:t>9</w:t>
      </w:r>
      <w:bookmarkStart w:id="0" w:name="_GoBack"/>
      <w:bookmarkEnd w:id="0"/>
      <w:r>
        <w:rPr>
          <w:b/>
          <w:noProof/>
          <w:sz w:val="24"/>
        </w:rPr>
        <w:t>-e</w:t>
      </w:r>
      <w:r w:rsidRPr="0033027D">
        <w:rPr>
          <w:b/>
          <w:noProof/>
          <w:sz w:val="24"/>
        </w:rPr>
        <w:tab/>
      </w:r>
      <w:r w:rsidRPr="00FA5152">
        <w:rPr>
          <w:b/>
          <w:noProof/>
          <w:sz w:val="24"/>
        </w:rPr>
        <w:t>R4-2</w:t>
      </w:r>
      <w:r>
        <w:rPr>
          <w:b/>
          <w:noProof/>
          <w:sz w:val="24"/>
        </w:rPr>
        <w:t>1</w:t>
      </w:r>
      <w:r w:rsidR="0066448B">
        <w:rPr>
          <w:b/>
          <w:noProof/>
          <w:sz w:val="24"/>
        </w:rPr>
        <w:t>09541</w:t>
      </w:r>
    </w:p>
    <w:p w14:paraId="63C63B34" w14:textId="08EB70D8" w:rsidR="001512D7" w:rsidRPr="00566BC5" w:rsidRDefault="002773CF" w:rsidP="002773CF">
      <w:pPr>
        <w:pStyle w:val="CRCoverPage"/>
        <w:outlineLvl w:val="0"/>
        <w:rPr>
          <w:b/>
          <w:noProof/>
          <w:sz w:val="24"/>
        </w:rPr>
      </w:pPr>
      <w:r>
        <w:rPr>
          <w:rFonts w:eastAsia="宋体"/>
          <w:b/>
          <w:sz w:val="24"/>
          <w:szCs w:val="24"/>
          <w:lang w:eastAsia="zh-CN"/>
        </w:rPr>
        <w:t xml:space="preserve">Electronic Meeting, </w:t>
      </w:r>
      <w:r w:rsidR="00972F56">
        <w:rPr>
          <w:rFonts w:eastAsia="宋体"/>
          <w:b/>
          <w:sz w:val="24"/>
          <w:szCs w:val="24"/>
          <w:lang w:eastAsia="zh-CN"/>
        </w:rPr>
        <w:t>May. 19</w:t>
      </w:r>
      <w:r>
        <w:rPr>
          <w:rFonts w:eastAsia="宋体"/>
          <w:b/>
          <w:sz w:val="24"/>
          <w:szCs w:val="24"/>
          <w:lang w:eastAsia="zh-CN"/>
        </w:rPr>
        <w:t>-2</w:t>
      </w:r>
      <w:r w:rsidR="00972F56">
        <w:rPr>
          <w:rFonts w:eastAsia="宋体"/>
          <w:b/>
          <w:sz w:val="24"/>
          <w:szCs w:val="24"/>
          <w:lang w:eastAsia="zh-CN"/>
        </w:rPr>
        <w:t>7</w:t>
      </w:r>
      <w:r w:rsidRPr="00554399">
        <w:rPr>
          <w:rFonts w:eastAsia="宋体"/>
          <w:b/>
          <w:sz w:val="24"/>
          <w:szCs w:val="24"/>
          <w:lang w:eastAsia="zh-CN"/>
        </w:rPr>
        <w:t>, 202</w:t>
      </w:r>
      <w:r>
        <w:rPr>
          <w:rFonts w:eastAsia="宋体"/>
          <w:b/>
          <w:sz w:val="24"/>
          <w:szCs w:val="24"/>
          <w:lang w:eastAsia="zh-CN"/>
        </w:rPr>
        <w:t>1</w:t>
      </w:r>
      <w:r>
        <w:rPr>
          <w:rFonts w:cs="Arial"/>
          <w:b/>
          <w:sz w:val="24"/>
        </w:rPr>
        <w:br/>
      </w:r>
    </w:p>
    <w:p w14:paraId="46DA2A95" w14:textId="13EFB285"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16BC9" w:rsidRPr="00D16BC9">
        <w:rPr>
          <w:rFonts w:ascii="Arial" w:hAnsi="Arial" w:cs="Arial"/>
          <w:b/>
        </w:rPr>
        <w:t>Discussio</w:t>
      </w:r>
      <w:r w:rsidR="00555A4B">
        <w:rPr>
          <w:rFonts w:ascii="Arial" w:hAnsi="Arial" w:cs="Arial"/>
          <w:b/>
        </w:rPr>
        <w:t xml:space="preserve">n on </w:t>
      </w:r>
      <w:r w:rsidR="002773CF">
        <w:rPr>
          <w:rFonts w:ascii="Arial" w:hAnsi="Arial" w:cs="Arial" w:hint="eastAsia"/>
          <w:b/>
          <w:lang w:eastAsia="zh-CN"/>
        </w:rPr>
        <w:t>TPMI</w:t>
      </w:r>
      <w:r w:rsidR="002773CF">
        <w:rPr>
          <w:rFonts w:ascii="Arial" w:hAnsi="Arial" w:cs="Arial"/>
          <w:b/>
        </w:rPr>
        <w:t xml:space="preserve"> configuration in EIRP measurement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1D3F18EE"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72F56">
        <w:rPr>
          <w:rFonts w:ascii="Arial" w:hAnsi="Arial" w:cs="Arial"/>
          <w:b/>
        </w:rPr>
        <w:t>10</w:t>
      </w:r>
      <w:r w:rsidR="00695FED">
        <w:rPr>
          <w:rFonts w:ascii="Arial" w:hAnsi="Arial" w:cs="Arial"/>
          <w:b/>
        </w:rPr>
        <w:t>.1.</w:t>
      </w:r>
      <w:r w:rsidR="00091315">
        <w:rPr>
          <w:rFonts w:ascii="Arial" w:hAnsi="Arial" w:cs="Arial"/>
          <w:b/>
        </w:rPr>
        <w:t>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13C177E" w14:textId="048A6F54" w:rsidR="009925C5" w:rsidRDefault="00940E80" w:rsidP="008F13B3">
      <w:pPr>
        <w:rPr>
          <w:rFonts w:eastAsia="Malgun Gothic"/>
          <w:lang w:val="en-US"/>
        </w:rPr>
      </w:pPr>
      <w:r>
        <w:rPr>
          <w:lang w:eastAsia="zh-CN"/>
        </w:rPr>
        <w:t>In RAN4#9</w:t>
      </w:r>
      <w:r w:rsidR="003C35D6">
        <w:rPr>
          <w:lang w:eastAsia="zh-CN"/>
        </w:rPr>
        <w:t>8</w:t>
      </w:r>
      <w:r>
        <w:rPr>
          <w:lang w:eastAsia="zh-CN"/>
        </w:rPr>
        <w:t>e</w:t>
      </w:r>
      <w:r w:rsidR="004579EA">
        <w:rPr>
          <w:lang w:eastAsia="zh-CN"/>
        </w:rPr>
        <w:t>-bis</w:t>
      </w:r>
      <w:r>
        <w:rPr>
          <w:lang w:eastAsia="zh-CN"/>
        </w:rPr>
        <w:t xml:space="preserve"> meeting</w:t>
      </w:r>
      <w:r w:rsidR="009925C5">
        <w:rPr>
          <w:lang w:eastAsia="zh-CN"/>
        </w:rPr>
        <w:t xml:space="preserve">, </w:t>
      </w:r>
      <w:r w:rsidR="004579EA">
        <w:rPr>
          <w:lang w:eastAsia="zh-CN"/>
        </w:rPr>
        <w:t>the agreement</w:t>
      </w:r>
      <w:r w:rsidR="003C35D6">
        <w:rPr>
          <w:lang w:eastAsia="zh-CN"/>
        </w:rPr>
        <w:t xml:space="preserve"> on </w:t>
      </w:r>
      <w:r w:rsidR="003C35D6" w:rsidRPr="003C35D6">
        <w:rPr>
          <w:lang w:eastAsia="zh-CN"/>
        </w:rPr>
        <w:t>polarization basis mismatch</w:t>
      </w:r>
      <w:r w:rsidR="003C35D6">
        <w:rPr>
          <w:lang w:eastAsia="zh-CN"/>
        </w:rPr>
        <w:t xml:space="preserve"> </w:t>
      </w:r>
      <w:r w:rsidR="004579EA">
        <w:rPr>
          <w:lang w:eastAsia="zh-CN"/>
        </w:rPr>
        <w:t>is as following as</w:t>
      </w:r>
      <w:r w:rsidR="00E162EC">
        <w:rPr>
          <w:lang w:eastAsia="zh-CN"/>
        </w:rPr>
        <w:t xml:space="preserve"> captured in the WF [</w:t>
      </w:r>
      <w:r w:rsidR="004579EA">
        <w:rPr>
          <w:lang w:eastAsia="zh-CN"/>
        </w:rPr>
        <w:t>1</w:t>
      </w:r>
      <w:r w:rsidR="005926BB">
        <w:rPr>
          <w:lang w:eastAsia="zh-CN"/>
        </w:rPr>
        <w:t>]:</w:t>
      </w:r>
    </w:p>
    <w:p w14:paraId="04020096" w14:textId="54CA4953" w:rsidR="009925C5" w:rsidRDefault="009925C5" w:rsidP="008F13B3">
      <w:pPr>
        <w:rPr>
          <w:lang w:eastAsia="zh-CN"/>
        </w:rPr>
      </w:pPr>
      <w:r>
        <w:rPr>
          <w:noProof/>
          <w:lang w:val="en-US" w:eastAsia="zh-CN"/>
        </w:rPr>
        <mc:AlternateContent>
          <mc:Choice Requires="wps">
            <w:drawing>
              <wp:inline distT="0" distB="0" distL="0" distR="0" wp14:anchorId="6F6BE04C" wp14:editId="577075DA">
                <wp:extent cx="6037385" cy="2492828"/>
                <wp:effectExtent l="0" t="0" r="20955" b="2222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2492828"/>
                        </a:xfrm>
                        <a:prstGeom prst="rect">
                          <a:avLst/>
                        </a:prstGeom>
                        <a:solidFill>
                          <a:srgbClr val="FFFFFF"/>
                        </a:solidFill>
                        <a:ln w="9525">
                          <a:solidFill>
                            <a:srgbClr val="000000"/>
                          </a:solidFill>
                          <a:miter lim="800000"/>
                          <a:headEnd/>
                          <a:tailEnd/>
                        </a:ln>
                      </wps:spPr>
                      <wps:txbx>
                        <w:txbxContent>
                          <w:p w14:paraId="056A1949" w14:textId="77777777" w:rsidR="00CA123B" w:rsidRPr="004579EA" w:rsidRDefault="00CA123B" w:rsidP="004579EA">
                            <w:pPr>
                              <w:numPr>
                                <w:ilvl w:val="0"/>
                                <w:numId w:val="43"/>
                              </w:numPr>
                              <w:rPr>
                                <w:lang w:val="en-US"/>
                              </w:rPr>
                            </w:pPr>
                            <w:r w:rsidRPr="004579EA">
                              <w:rPr>
                                <w:lang w:val="en-US"/>
                              </w:rPr>
                              <w:t>For 1 layer case, TPMI method is applicable for clause 6.2 of TS 38.101-2 for Rel-15 and Rel-16 coherent UEs and is applicable for clause 6.2D for Rel-16 nonCoherent UEs with uplink full power transmission.</w:t>
                            </w:r>
                          </w:p>
                          <w:p w14:paraId="5258C32F" w14:textId="77777777" w:rsidR="00CA123B" w:rsidRPr="004579EA" w:rsidRDefault="00CA123B" w:rsidP="004579EA">
                            <w:pPr>
                              <w:numPr>
                                <w:ilvl w:val="1"/>
                                <w:numId w:val="43"/>
                              </w:numPr>
                              <w:rPr>
                                <w:lang w:val="en-US"/>
                              </w:rPr>
                            </w:pPr>
                            <w:r w:rsidRPr="004579EA">
                              <w:rPr>
                                <w:lang w:val="en-US"/>
                              </w:rPr>
                              <w:t>2-port transmission shall be configured for coherent UEs and nonCoherent UEs supporting full power transmission [mode-1].</w:t>
                            </w:r>
                          </w:p>
                          <w:p w14:paraId="3244CEB9" w14:textId="77777777" w:rsidR="00CA123B" w:rsidRPr="004579EA" w:rsidRDefault="00CA123B" w:rsidP="004579EA">
                            <w:pPr>
                              <w:numPr>
                                <w:ilvl w:val="1"/>
                                <w:numId w:val="43"/>
                              </w:numPr>
                              <w:rPr>
                                <w:lang w:val="en-US"/>
                              </w:rPr>
                            </w:pPr>
                            <w:r w:rsidRPr="004579EA">
                              <w:rPr>
                                <w:lang w:val="en-US"/>
                              </w:rPr>
                              <w:t>When 2-port transmission is configured for EIRP measurement for test cases in clause 6.2 and 6.2D of TS38.101-2, fixed TPMI index=2 shall be configured.</w:t>
                            </w:r>
                          </w:p>
                          <w:p w14:paraId="14BB5139" w14:textId="77777777" w:rsidR="00CA123B" w:rsidRPr="004579EA" w:rsidRDefault="00CA123B" w:rsidP="004579EA">
                            <w:pPr>
                              <w:numPr>
                                <w:ilvl w:val="0"/>
                                <w:numId w:val="43"/>
                              </w:numPr>
                              <w:rPr>
                                <w:lang w:val="en-US"/>
                              </w:rPr>
                            </w:pPr>
                            <w:r w:rsidRPr="004579EA">
                              <w:rPr>
                                <w:lang w:val="en-US"/>
                              </w:rPr>
                              <w:t>Rel-16 Non-coherent UEs which do not support full power transmission and Rel-15 non-coherent Ues shall be configured with nrofSRS-ports=1.</w:t>
                            </w:r>
                          </w:p>
                          <w:p w14:paraId="7127AC27" w14:textId="77777777" w:rsidR="00CA123B" w:rsidRPr="004579EA" w:rsidRDefault="00CA123B" w:rsidP="004579EA">
                            <w:pPr>
                              <w:numPr>
                                <w:ilvl w:val="0"/>
                                <w:numId w:val="43"/>
                              </w:numPr>
                              <w:rPr>
                                <w:lang w:val="en-US"/>
                              </w:rPr>
                            </w:pPr>
                            <w:r w:rsidRPr="004579EA">
                              <w:rPr>
                                <w:lang w:val="en-US"/>
                              </w:rPr>
                              <w:t>Whether further apply optimal TPMI shall be further discussed.</w:t>
                            </w:r>
                          </w:p>
                          <w:p w14:paraId="1A045A11" w14:textId="77777777" w:rsidR="00CA123B" w:rsidRPr="004579EA" w:rsidRDefault="00CA123B" w:rsidP="004579EA">
                            <w:pPr>
                              <w:numPr>
                                <w:ilvl w:val="1"/>
                                <w:numId w:val="43"/>
                              </w:numPr>
                              <w:rPr>
                                <w:lang w:val="en-US"/>
                              </w:rPr>
                            </w:pPr>
                            <w:r w:rsidRPr="004579EA">
                              <w:rPr>
                                <w:lang w:val="en-US"/>
                              </w:rPr>
                              <w:t xml:space="preserve"> Companies are encouraged to raise technical clarification on optimal TPMI.</w:t>
                            </w:r>
                          </w:p>
                          <w:p w14:paraId="5AA962A2" w14:textId="4DDD9BF2" w:rsidR="009925C5" w:rsidRPr="004579EA" w:rsidRDefault="009925C5" w:rsidP="004579EA">
                            <w:pPr>
                              <w:rPr>
                                <w:lang w:val="en-US"/>
                              </w:rPr>
                            </w:pPr>
                          </w:p>
                        </w:txbxContent>
                      </wps:txbx>
                      <wps:bodyPr rot="0" vert="horz" wrap="square" lIns="91440" tIns="45720" rIns="91440" bIns="45720" anchor="t" anchorCtr="0">
                        <a:noAutofit/>
                      </wps:bodyPr>
                    </wps:wsp>
                  </a:graphicData>
                </a:graphic>
              </wp:inline>
            </w:drawing>
          </mc:Choice>
          <mc:Fallback>
            <w:pict>
              <v:shapetype w14:anchorId="6F6BE04C" id="_x0000_t202" coordsize="21600,21600" o:spt="202" path="m,l,21600r21600,l21600,xe">
                <v:stroke joinstyle="miter"/>
                <v:path gradientshapeok="t" o:connecttype="rect"/>
              </v:shapetype>
              <v:shape id="文本框 3" o:spid="_x0000_s1026" type="#_x0000_t202" style="width:475.4pt;height:19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">
                <v:textbox>
                  <w:txbxContent>
                    <w:p w14:paraId="056A1949" w14:textId="77777777" w:rsidR="00CA123B" w:rsidRPr="004579EA" w:rsidRDefault="00CA123B" w:rsidP="004579EA">
                      <w:pPr>
                        <w:numPr>
                          <w:ilvl w:val="0"/>
                          <w:numId w:val="43"/>
                        </w:numPr>
                        <w:rPr>
                          <w:lang w:val="en-US"/>
                        </w:rPr>
                      </w:pPr>
                      <w:r w:rsidRPr="004579EA">
                        <w:rPr>
                          <w:lang w:val="en-US"/>
                        </w:rPr>
                        <w:t>For 1 layer case, TPMI method is applicable for clause 6.2 of TS 38.101-2 for Rel-15 and Rel-16 coherent UEs and is applicable for clause 6.2D for Rel-16 nonCoherent UEs with uplink full power transmission.</w:t>
                      </w:r>
                    </w:p>
                    <w:p w14:paraId="5258C32F" w14:textId="77777777" w:rsidR="00CA123B" w:rsidRPr="004579EA" w:rsidRDefault="00CA123B" w:rsidP="004579EA">
                      <w:pPr>
                        <w:numPr>
                          <w:ilvl w:val="1"/>
                          <w:numId w:val="43"/>
                        </w:numPr>
                        <w:rPr>
                          <w:lang w:val="en-US"/>
                        </w:rPr>
                      </w:pPr>
                      <w:r w:rsidRPr="004579EA">
                        <w:rPr>
                          <w:lang w:val="en-US"/>
                        </w:rPr>
                        <w:t>2-port transmission shall be configured for coherent UEs and nonCoherent UEs supporting full power transmission [mode-1].</w:t>
                      </w:r>
                    </w:p>
                    <w:p w14:paraId="3244CEB9" w14:textId="77777777" w:rsidR="00CA123B" w:rsidRPr="004579EA" w:rsidRDefault="00CA123B" w:rsidP="004579EA">
                      <w:pPr>
                        <w:numPr>
                          <w:ilvl w:val="1"/>
                          <w:numId w:val="43"/>
                        </w:numPr>
                        <w:rPr>
                          <w:lang w:val="en-US"/>
                        </w:rPr>
                      </w:pPr>
                      <w:r w:rsidRPr="004579EA">
                        <w:rPr>
                          <w:lang w:val="en-US"/>
                        </w:rPr>
                        <w:t>When 2-port transmission is configured for EIRP measurement for test cases in clause 6.2 and 6.2D of TS38.101-2, fixed TPMI index=2 shall be configured.</w:t>
                      </w:r>
                    </w:p>
                    <w:p w14:paraId="14BB5139" w14:textId="77777777" w:rsidR="00CA123B" w:rsidRPr="004579EA" w:rsidRDefault="00CA123B" w:rsidP="004579EA">
                      <w:pPr>
                        <w:numPr>
                          <w:ilvl w:val="0"/>
                          <w:numId w:val="43"/>
                        </w:numPr>
                        <w:rPr>
                          <w:lang w:val="en-US"/>
                        </w:rPr>
                      </w:pPr>
                      <w:r w:rsidRPr="004579EA">
                        <w:rPr>
                          <w:lang w:val="en-US"/>
                        </w:rPr>
                        <w:t>Rel-16 Non-coherent UEs which do not support full power transmission and Rel-15 non-coherent Ues shall be configured with nrofSRS-ports=1.</w:t>
                      </w:r>
                    </w:p>
                    <w:p w14:paraId="7127AC27" w14:textId="77777777" w:rsidR="00CA123B" w:rsidRPr="004579EA" w:rsidRDefault="00CA123B" w:rsidP="004579EA">
                      <w:pPr>
                        <w:numPr>
                          <w:ilvl w:val="0"/>
                          <w:numId w:val="43"/>
                        </w:numPr>
                        <w:rPr>
                          <w:lang w:val="en-US"/>
                        </w:rPr>
                      </w:pPr>
                      <w:r w:rsidRPr="004579EA">
                        <w:rPr>
                          <w:lang w:val="en-US"/>
                        </w:rPr>
                        <w:t>Whether further apply optimal TPMI shall be further discussed.</w:t>
                      </w:r>
                    </w:p>
                    <w:p w14:paraId="1A045A11" w14:textId="77777777" w:rsidR="00CA123B" w:rsidRPr="004579EA" w:rsidRDefault="00CA123B" w:rsidP="004579EA">
                      <w:pPr>
                        <w:numPr>
                          <w:ilvl w:val="1"/>
                          <w:numId w:val="43"/>
                        </w:numPr>
                        <w:rPr>
                          <w:lang w:val="en-US"/>
                        </w:rPr>
                      </w:pPr>
                      <w:r w:rsidRPr="004579EA">
                        <w:rPr>
                          <w:lang w:val="en-US"/>
                        </w:rPr>
                        <w:t xml:space="preserve"> Companies are encouraged to raise technical clarification on optimal TPMI.</w:t>
                      </w:r>
                    </w:p>
                    <w:p w14:paraId="5AA962A2" w14:textId="4DDD9BF2" w:rsidR="009925C5" w:rsidRPr="004579EA" w:rsidRDefault="009925C5" w:rsidP="004579EA">
                      <w:pPr>
                        <w:rPr>
                          <w:rFonts w:hint="eastAsia"/>
                          <w:lang w:val="en-US"/>
                        </w:rPr>
                      </w:pPr>
                    </w:p>
                  </w:txbxContent>
                </v:textbox>
                <w10:anchorlock/>
              </v:shape>
            </w:pict>
          </mc:Fallback>
        </mc:AlternateContent>
      </w:r>
    </w:p>
    <w:p w14:paraId="0723CC00" w14:textId="2C138949" w:rsidR="00FB2CAD" w:rsidRPr="00916F8E" w:rsidRDefault="005926BB" w:rsidP="008F13B3">
      <w:pPr>
        <w:rPr>
          <w:lang w:eastAsia="zh-CN"/>
        </w:rPr>
      </w:pPr>
      <w:r>
        <w:rPr>
          <w:lang w:eastAsia="zh-CN"/>
        </w:rPr>
        <w:t xml:space="preserve">In this contribution, we </w:t>
      </w:r>
      <w:r w:rsidR="003D1BDE">
        <w:rPr>
          <w:lang w:eastAsia="zh-CN"/>
        </w:rPr>
        <w:t>further discuss about how to handle uplink full power transmission and optimal TPMI.</w:t>
      </w:r>
    </w:p>
    <w:p w14:paraId="65A85401" w14:textId="697A8A6E" w:rsidR="00962566" w:rsidRDefault="000A567D" w:rsidP="00E33B8C">
      <w:pPr>
        <w:pStyle w:val="1"/>
      </w:pPr>
      <w:r>
        <w:t xml:space="preserve">2. </w:t>
      </w:r>
      <w:r>
        <w:tab/>
      </w:r>
      <w:r w:rsidR="002A1C01">
        <w:t>Discussion</w:t>
      </w:r>
    </w:p>
    <w:p w14:paraId="32C553EE" w14:textId="6166A774" w:rsidR="001F7D2F" w:rsidRPr="007C4CA8" w:rsidRDefault="001F7D2F" w:rsidP="001F7D2F">
      <w:pPr>
        <w:pStyle w:val="2"/>
      </w:pPr>
      <w:r>
        <w:t>2.1</w:t>
      </w:r>
      <w:r>
        <w:tab/>
      </w:r>
      <w:r w:rsidR="003D1BDE">
        <w:rPr>
          <w:lang w:eastAsia="zh-CN"/>
        </w:rPr>
        <w:t>fixed TPMI</w:t>
      </w:r>
    </w:p>
    <w:p w14:paraId="6CD306BB" w14:textId="1F90BA09" w:rsidR="00C06E6E" w:rsidRDefault="003D1BDE" w:rsidP="00E07046">
      <w:r>
        <w:t xml:space="preserve">Based on latest agreement, it seems that coherent UEs apply fixed TPMI index=2 for </w:t>
      </w:r>
      <w:r w:rsidRPr="004579EA">
        <w:rPr>
          <w:lang w:val="en-US"/>
        </w:rPr>
        <w:t>clause 6.2 of TS 38.101-2</w:t>
      </w:r>
      <w:r>
        <w:rPr>
          <w:lang w:val="en-US"/>
        </w:rPr>
        <w:t xml:space="preserve">, but </w:t>
      </w:r>
      <w:r w:rsidRPr="004579EA">
        <w:rPr>
          <w:lang w:val="en-US"/>
        </w:rPr>
        <w:t>nonCoherent UEs</w:t>
      </w:r>
      <w:r>
        <w:rPr>
          <w:lang w:val="en-US"/>
        </w:rPr>
        <w:t xml:space="preserve"> can not apply to clause 6.2 even it supports uplink full power transmission mode 1.</w:t>
      </w:r>
    </w:p>
    <w:p w14:paraId="6169FE84" w14:textId="71042151" w:rsidR="00FF72CD" w:rsidRDefault="003D1BDE" w:rsidP="00E07046">
      <w:pPr>
        <w:rPr>
          <w:lang w:val="en-US"/>
        </w:rPr>
      </w:pPr>
      <w:r>
        <w:rPr>
          <w:lang w:val="en-US" w:eastAsia="zh-CN"/>
        </w:rPr>
        <w:t>Although uplink full power transmission mode 1 is specified in clause 6.2D of TS28.101-2 for one layer transmission, in our understanding, its TPMI index=2 is still available for clause 6.2 of TS28.101-2.</w:t>
      </w:r>
      <w:r>
        <w:rPr>
          <w:lang w:val="en-US"/>
        </w:rPr>
        <w:t xml:space="preserve"> We have agreed to configure 2-port transmission for coherent UEs for clause 6.2 </w:t>
      </w:r>
      <w:r>
        <w:rPr>
          <w:lang w:val="en-US" w:eastAsia="zh-CN"/>
        </w:rPr>
        <w:t xml:space="preserve">of TS28.101-2, it is also applicable for nonCoherent UEs supporting uplink full power transmission mode 1. For consistency, we propose to apply </w:t>
      </w:r>
      <w:r>
        <w:t xml:space="preserve">fixed TPMI index=2 for </w:t>
      </w:r>
      <w:r w:rsidRPr="004579EA">
        <w:rPr>
          <w:lang w:val="en-US"/>
        </w:rPr>
        <w:t>clause 6.2 of TS 38.101-2</w:t>
      </w:r>
      <w:r>
        <w:rPr>
          <w:lang w:val="en-US"/>
        </w:rPr>
        <w:t xml:space="preserve"> for </w:t>
      </w:r>
      <w:r>
        <w:rPr>
          <w:lang w:val="en-US" w:eastAsia="zh-CN"/>
        </w:rPr>
        <w:t>nonCoherent UEs supporting uplink full power transmission mode 1.</w:t>
      </w:r>
    </w:p>
    <w:p w14:paraId="45F542A1" w14:textId="06546DBB" w:rsidR="006B41F1" w:rsidRDefault="006B41F1" w:rsidP="006B41F1">
      <w:pPr>
        <w:spacing w:after="120"/>
        <w:ind w:left="1418" w:hanging="1418"/>
        <w:rPr>
          <w:b/>
          <w:bCs/>
        </w:rPr>
      </w:pPr>
      <w:r>
        <w:rPr>
          <w:b/>
          <w:bCs/>
        </w:rPr>
        <w:t>Proposal 1</w:t>
      </w:r>
      <w:r w:rsidRPr="00DF1B01">
        <w:rPr>
          <w:b/>
          <w:bCs/>
        </w:rPr>
        <w:t>:</w:t>
      </w:r>
      <w:r w:rsidRPr="00DF1B01">
        <w:rPr>
          <w:b/>
          <w:bCs/>
        </w:rPr>
        <w:tab/>
      </w:r>
      <w:r w:rsidR="003D1BDE" w:rsidRPr="003D1BDE">
        <w:rPr>
          <w:b/>
          <w:bCs/>
          <w:lang w:val="en-US"/>
        </w:rPr>
        <w:t xml:space="preserve">apply </w:t>
      </w:r>
      <w:r w:rsidR="003D1BDE" w:rsidRPr="003D1BDE">
        <w:rPr>
          <w:b/>
          <w:bCs/>
        </w:rPr>
        <w:t xml:space="preserve">fixed TPMI index=2 for </w:t>
      </w:r>
      <w:r w:rsidR="003D1BDE" w:rsidRPr="003D1BDE">
        <w:rPr>
          <w:b/>
          <w:bCs/>
          <w:lang w:val="en-US"/>
        </w:rPr>
        <w:t>clause 6.2 of TS 38.101-2 for nonCoherent UEs supporting uplink full power transmission mode 1</w:t>
      </w:r>
    </w:p>
    <w:p w14:paraId="54251045" w14:textId="537E789F" w:rsidR="00957424" w:rsidRPr="007C4CA8" w:rsidRDefault="00957424" w:rsidP="001F27BD">
      <w:pPr>
        <w:pStyle w:val="2"/>
        <w:tabs>
          <w:tab w:val="left" w:pos="720"/>
          <w:tab w:val="left" w:pos="1440"/>
          <w:tab w:val="left" w:pos="2160"/>
          <w:tab w:val="left" w:pos="2880"/>
          <w:tab w:val="left" w:pos="3600"/>
          <w:tab w:val="left" w:pos="4320"/>
          <w:tab w:val="left" w:pos="5040"/>
          <w:tab w:val="right" w:pos="9632"/>
        </w:tabs>
      </w:pPr>
      <w:r>
        <w:lastRenderedPageBreak/>
        <w:t>2.2</w:t>
      </w:r>
      <w:r>
        <w:tab/>
      </w:r>
      <w:r w:rsidR="003D1BDE">
        <w:t>optimal TPMI</w:t>
      </w:r>
      <w:r w:rsidR="001F27BD">
        <w:tab/>
      </w:r>
    </w:p>
    <w:p w14:paraId="46EFC265" w14:textId="5107CB84" w:rsidR="00C21C52" w:rsidRDefault="00D462C9" w:rsidP="00C21C52">
      <w:pPr>
        <w:rPr>
          <w:lang w:eastAsia="zh-CN"/>
        </w:rPr>
      </w:pPr>
      <w:r>
        <w:rPr>
          <w:lang w:eastAsia="zh-CN"/>
        </w:rPr>
        <w:t>When 2-port transmission is configured for EIRP measurement</w:t>
      </w:r>
      <w:r w:rsidR="003D1BDE">
        <w:rPr>
          <w:lang w:eastAsia="zh-CN"/>
        </w:rPr>
        <w:t xml:space="preserve">, there is proposal to select </w:t>
      </w:r>
      <w:r w:rsidR="00172F1E">
        <w:rPr>
          <w:lang w:eastAsia="zh-CN"/>
        </w:rPr>
        <w:t>optimal</w:t>
      </w:r>
      <w:r w:rsidR="003D1BDE">
        <w:rPr>
          <w:lang w:eastAsia="zh-CN"/>
        </w:rPr>
        <w:t xml:space="preserve"> TPMI</w:t>
      </w:r>
      <w:r>
        <w:rPr>
          <w:lang w:eastAsia="zh-CN"/>
        </w:rPr>
        <w:t xml:space="preserve"> from the following TPMI index</w:t>
      </w:r>
      <w:r w:rsidR="00DA751F">
        <w:rPr>
          <w:lang w:eastAsia="zh-CN"/>
        </w:rPr>
        <w:t>es</w:t>
      </w:r>
      <w:r>
        <w:rPr>
          <w:lang w:eastAsia="zh-CN"/>
        </w:rPr>
        <w:t xml:space="preserve"> </w:t>
      </w:r>
      <w:r w:rsidR="00DA751F">
        <w:rPr>
          <w:lang w:eastAsia="zh-CN"/>
        </w:rPr>
        <w:t>which stand for the pre-coding matrix for single-layer transmission using two antenna ports</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937"/>
        <w:gridCol w:w="987"/>
        <w:gridCol w:w="897"/>
        <w:gridCol w:w="1031"/>
        <w:gridCol w:w="903"/>
        <w:gridCol w:w="1041"/>
        <w:gridCol w:w="739"/>
        <w:gridCol w:w="972"/>
      </w:tblGrid>
      <w:tr w:rsidR="00D462C9" w14:paraId="25CEB3AD" w14:textId="77777777" w:rsidTr="00CA123B">
        <w:trPr>
          <w:jc w:val="center"/>
        </w:trPr>
        <w:tc>
          <w:tcPr>
            <w:tcW w:w="1229" w:type="dxa"/>
            <w:shd w:val="clear" w:color="auto" w:fill="auto"/>
          </w:tcPr>
          <w:p w14:paraId="0062EC98" w14:textId="77777777" w:rsidR="00D462C9" w:rsidRPr="005B61B2" w:rsidRDefault="00D462C9" w:rsidP="00CA123B">
            <w:pPr>
              <w:pStyle w:val="TAH"/>
              <w:rPr>
                <w:rFonts w:eastAsia="Batang"/>
              </w:rPr>
            </w:pPr>
            <w:r w:rsidRPr="005B61B2">
              <w:rPr>
                <w:rFonts w:eastAsia="Batang"/>
              </w:rPr>
              <w:t>TPMI index</w:t>
            </w:r>
          </w:p>
        </w:tc>
        <w:tc>
          <w:tcPr>
            <w:tcW w:w="7758" w:type="dxa"/>
            <w:gridSpan w:val="8"/>
            <w:shd w:val="clear" w:color="auto" w:fill="auto"/>
            <w:vAlign w:val="center"/>
          </w:tcPr>
          <w:p w14:paraId="6E1B3BB6" w14:textId="77777777" w:rsidR="00D462C9" w:rsidRPr="005B61B2" w:rsidRDefault="00D462C9" w:rsidP="00CA123B">
            <w:pPr>
              <w:pStyle w:val="TAH"/>
              <w:rPr>
                <w:rFonts w:eastAsia="Batang"/>
              </w:rPr>
            </w:pPr>
            <w:r w:rsidRPr="005B61B2">
              <w:rPr>
                <w:rFonts w:eastAsia="Batang"/>
              </w:rPr>
              <w:object w:dxaOrig="260" w:dyaOrig="240" w14:anchorId="34F03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8" o:title=""/>
                </v:shape>
                <o:OLEObject Type="Embed" ProgID="Equation.3" ShapeID="_x0000_i1025" DrawAspect="Content" ObjectID="_1682234269" r:id="rId9"/>
              </w:object>
            </w:r>
            <w:r w:rsidRPr="005B61B2">
              <w:rPr>
                <w:rFonts w:eastAsia="Batang"/>
              </w:rPr>
              <w:br/>
              <w:t>(ordered from left to right in increasing order of TPMI index)</w:t>
            </w:r>
          </w:p>
        </w:tc>
      </w:tr>
      <w:tr w:rsidR="00D462C9" w14:paraId="6D994A5C" w14:textId="77777777" w:rsidTr="00CA123B">
        <w:trPr>
          <w:jc w:val="center"/>
        </w:trPr>
        <w:tc>
          <w:tcPr>
            <w:tcW w:w="1229" w:type="dxa"/>
            <w:shd w:val="clear" w:color="auto" w:fill="auto"/>
          </w:tcPr>
          <w:p w14:paraId="05CFADC5" w14:textId="77777777" w:rsidR="00D462C9" w:rsidRPr="005B61B2" w:rsidRDefault="00D462C9" w:rsidP="00CA123B">
            <w:pPr>
              <w:pStyle w:val="TAC"/>
              <w:rPr>
                <w:rFonts w:eastAsia="Batang"/>
              </w:rPr>
            </w:pPr>
            <w:r w:rsidRPr="005B61B2">
              <w:rPr>
                <w:rFonts w:eastAsia="Batang"/>
              </w:rPr>
              <w:t>0 – 5</w:t>
            </w:r>
          </w:p>
        </w:tc>
        <w:tc>
          <w:tcPr>
            <w:tcW w:w="876" w:type="dxa"/>
            <w:shd w:val="clear" w:color="auto" w:fill="auto"/>
          </w:tcPr>
          <w:p w14:paraId="0B4A21B5" w14:textId="77777777" w:rsidR="00D462C9" w:rsidRPr="00C04948" w:rsidRDefault="00D462C9" w:rsidP="00CA123B">
            <w:pPr>
              <w:pStyle w:val="TAC"/>
              <w:rPr>
                <w:rFonts w:eastAsia="Batang"/>
                <w:highlight w:val="yellow"/>
              </w:rPr>
            </w:pPr>
            <w:r w:rsidRPr="000571B2">
              <w:rPr>
                <w:rFonts w:eastAsia="Batang"/>
                <w:position w:val="-26"/>
              </w:rPr>
              <w:object w:dxaOrig="660" w:dyaOrig="620" w14:anchorId="7D729E06">
                <v:shape id="_x0000_i1026" type="#_x0000_t75" style="width:36pt;height:28.3pt" o:ole="">
                  <v:imagedata r:id="rId10" o:title=""/>
                </v:shape>
                <o:OLEObject Type="Embed" ProgID="Equation.3" ShapeID="_x0000_i1026" DrawAspect="Content" ObjectID="_1682234270" r:id="rId11"/>
              </w:object>
            </w:r>
          </w:p>
        </w:tc>
        <w:tc>
          <w:tcPr>
            <w:tcW w:w="999" w:type="dxa"/>
            <w:shd w:val="clear" w:color="auto" w:fill="auto"/>
          </w:tcPr>
          <w:p w14:paraId="35FBC6A4" w14:textId="77777777" w:rsidR="00D462C9" w:rsidRPr="000571B2" w:rsidRDefault="00D462C9" w:rsidP="00CA123B">
            <w:pPr>
              <w:pStyle w:val="TAC"/>
              <w:rPr>
                <w:rFonts w:eastAsia="Batang"/>
              </w:rPr>
            </w:pPr>
            <w:r w:rsidRPr="000571B2">
              <w:rPr>
                <w:rFonts w:eastAsia="Batang"/>
                <w:position w:val="-26"/>
              </w:rPr>
              <w:object w:dxaOrig="660" w:dyaOrig="620" w14:anchorId="3125560D">
                <v:shape id="_x0000_i1027" type="#_x0000_t75" style="width:36pt;height:28.3pt" o:ole="">
                  <v:imagedata r:id="rId12" o:title=""/>
                </v:shape>
                <o:OLEObject Type="Embed" ProgID="Equation.3" ShapeID="_x0000_i1027" DrawAspect="Content" ObjectID="_1682234271" r:id="rId13"/>
              </w:object>
            </w:r>
          </w:p>
        </w:tc>
        <w:tc>
          <w:tcPr>
            <w:tcW w:w="906" w:type="dxa"/>
            <w:shd w:val="clear" w:color="auto" w:fill="auto"/>
          </w:tcPr>
          <w:p w14:paraId="170049A9" w14:textId="77777777" w:rsidR="00D462C9" w:rsidRPr="000571B2" w:rsidRDefault="00D462C9" w:rsidP="00CA123B">
            <w:pPr>
              <w:pStyle w:val="TAC"/>
              <w:rPr>
                <w:rFonts w:eastAsia="Batang"/>
              </w:rPr>
            </w:pPr>
            <w:r w:rsidRPr="000571B2">
              <w:rPr>
                <w:rFonts w:eastAsia="Batang"/>
                <w:noProof/>
                <w:lang w:val="en-US" w:eastAsia="zh-CN"/>
              </w:rPr>
              <w:drawing>
                <wp:inline distT="0" distB="0" distL="0" distR="0" wp14:anchorId="2CC68A6F" wp14:editId="57B98416">
                  <wp:extent cx="409575" cy="390525"/>
                  <wp:effectExtent l="0" t="0" r="0" b="0"/>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9575" cy="390525"/>
                          </a:xfrm>
                          <a:prstGeom prst="rect">
                            <a:avLst/>
                          </a:prstGeom>
                          <a:noFill/>
                          <a:ln>
                            <a:noFill/>
                          </a:ln>
                        </pic:spPr>
                      </pic:pic>
                    </a:graphicData>
                  </a:graphic>
                </wp:inline>
              </w:drawing>
            </w:r>
          </w:p>
        </w:tc>
        <w:tc>
          <w:tcPr>
            <w:tcW w:w="1039" w:type="dxa"/>
            <w:shd w:val="clear" w:color="auto" w:fill="auto"/>
          </w:tcPr>
          <w:p w14:paraId="0116A833" w14:textId="77777777" w:rsidR="00D462C9" w:rsidRPr="000571B2" w:rsidRDefault="00D462C9" w:rsidP="00CA123B">
            <w:pPr>
              <w:pStyle w:val="TAC"/>
              <w:rPr>
                <w:rFonts w:eastAsia="Batang"/>
              </w:rPr>
            </w:pPr>
            <w:r w:rsidRPr="000571B2">
              <w:rPr>
                <w:rFonts w:eastAsia="Batang"/>
                <w:noProof/>
                <w:lang w:val="en-US" w:eastAsia="zh-CN"/>
              </w:rPr>
              <w:drawing>
                <wp:inline distT="0" distB="0" distL="0" distR="0" wp14:anchorId="030D2FF0" wp14:editId="2BF4CBE7">
                  <wp:extent cx="495300" cy="390525"/>
                  <wp:effectExtent l="0" t="0" r="0" b="0"/>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390525"/>
                          </a:xfrm>
                          <a:prstGeom prst="rect">
                            <a:avLst/>
                          </a:prstGeom>
                          <a:noFill/>
                          <a:ln>
                            <a:noFill/>
                          </a:ln>
                        </pic:spPr>
                      </pic:pic>
                    </a:graphicData>
                  </a:graphic>
                </wp:inline>
              </w:drawing>
            </w:r>
          </w:p>
        </w:tc>
        <w:tc>
          <w:tcPr>
            <w:tcW w:w="906" w:type="dxa"/>
            <w:shd w:val="clear" w:color="auto" w:fill="auto"/>
          </w:tcPr>
          <w:p w14:paraId="5D3F4ACC" w14:textId="77777777" w:rsidR="00D462C9" w:rsidRPr="000571B2" w:rsidRDefault="00D462C9" w:rsidP="00CA123B">
            <w:pPr>
              <w:pStyle w:val="TAC"/>
              <w:rPr>
                <w:rFonts w:eastAsia="Batang"/>
              </w:rPr>
            </w:pPr>
            <w:r w:rsidRPr="000571B2">
              <w:rPr>
                <w:rFonts w:eastAsia="Batang"/>
                <w:noProof/>
                <w:lang w:val="en-US" w:eastAsia="zh-CN"/>
              </w:rPr>
              <w:drawing>
                <wp:inline distT="0" distB="0" distL="0" distR="0" wp14:anchorId="693F1BDC" wp14:editId="351CA795">
                  <wp:extent cx="428625" cy="39052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8625" cy="390525"/>
                          </a:xfrm>
                          <a:prstGeom prst="rect">
                            <a:avLst/>
                          </a:prstGeom>
                          <a:noFill/>
                          <a:ln>
                            <a:noFill/>
                          </a:ln>
                        </pic:spPr>
                      </pic:pic>
                    </a:graphicData>
                  </a:graphic>
                </wp:inline>
              </w:drawing>
            </w:r>
          </w:p>
        </w:tc>
        <w:tc>
          <w:tcPr>
            <w:tcW w:w="1041" w:type="dxa"/>
            <w:shd w:val="clear" w:color="auto" w:fill="auto"/>
          </w:tcPr>
          <w:p w14:paraId="60255CA2" w14:textId="77777777" w:rsidR="00D462C9" w:rsidRPr="000571B2" w:rsidRDefault="00D462C9" w:rsidP="00CA123B">
            <w:pPr>
              <w:pStyle w:val="TAC"/>
              <w:rPr>
                <w:rFonts w:eastAsia="Batang"/>
              </w:rPr>
            </w:pPr>
            <w:r w:rsidRPr="000571B2">
              <w:rPr>
                <w:rFonts w:eastAsia="Batang"/>
                <w:noProof/>
                <w:lang w:val="en-US" w:eastAsia="zh-CN"/>
              </w:rPr>
              <w:drawing>
                <wp:inline distT="0" distB="0" distL="0" distR="0" wp14:anchorId="2755BEBF" wp14:editId="1F836108">
                  <wp:extent cx="523875" cy="390525"/>
                  <wp:effectExtent l="0" t="0" r="0" b="0"/>
                  <wp:docPr id="4"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3875" cy="390525"/>
                          </a:xfrm>
                          <a:prstGeom prst="rect">
                            <a:avLst/>
                          </a:prstGeom>
                          <a:noFill/>
                          <a:ln>
                            <a:noFill/>
                          </a:ln>
                        </pic:spPr>
                      </pic:pic>
                    </a:graphicData>
                  </a:graphic>
                </wp:inline>
              </w:drawing>
            </w:r>
          </w:p>
        </w:tc>
        <w:tc>
          <w:tcPr>
            <w:tcW w:w="851" w:type="dxa"/>
            <w:shd w:val="clear" w:color="auto" w:fill="auto"/>
            <w:vAlign w:val="center"/>
          </w:tcPr>
          <w:p w14:paraId="145FA711" w14:textId="77777777" w:rsidR="00D462C9" w:rsidRPr="003C7F53" w:rsidRDefault="00D462C9" w:rsidP="00CA123B">
            <w:pPr>
              <w:pStyle w:val="TAC"/>
              <w:rPr>
                <w:rFonts w:eastAsia="Batang"/>
              </w:rPr>
            </w:pPr>
            <w:r w:rsidRPr="003C7F53">
              <w:t>-</w:t>
            </w:r>
          </w:p>
        </w:tc>
        <w:tc>
          <w:tcPr>
            <w:tcW w:w="1140" w:type="dxa"/>
            <w:shd w:val="clear" w:color="auto" w:fill="auto"/>
            <w:vAlign w:val="center"/>
          </w:tcPr>
          <w:p w14:paraId="34990673" w14:textId="77777777" w:rsidR="00D462C9" w:rsidRPr="005B61B2" w:rsidRDefault="00D462C9" w:rsidP="00CA123B">
            <w:pPr>
              <w:pStyle w:val="TAC"/>
              <w:rPr>
                <w:rFonts w:eastAsia="Batang"/>
              </w:rPr>
            </w:pPr>
            <w:r>
              <w:t>-</w:t>
            </w:r>
          </w:p>
        </w:tc>
      </w:tr>
    </w:tbl>
    <w:p w14:paraId="4393AAFC" w14:textId="77777777" w:rsidR="00D462C9" w:rsidRDefault="00D462C9" w:rsidP="00C21C52">
      <w:pPr>
        <w:rPr>
          <w:lang w:eastAsia="zh-CN"/>
        </w:rPr>
      </w:pPr>
    </w:p>
    <w:p w14:paraId="5ECA4DA0" w14:textId="0CBF546D" w:rsidR="0088401B" w:rsidRPr="0088401B" w:rsidRDefault="00172F1E" w:rsidP="00C21C52">
      <w:pPr>
        <w:rPr>
          <w:lang w:val="en-US" w:eastAsia="zh-CN"/>
        </w:rPr>
      </w:pPr>
      <w:r>
        <w:rPr>
          <w:lang w:eastAsia="zh-CN"/>
        </w:rPr>
        <w:t>In our understanding, in real network TPMI selection based on sounding reference signal is meaningful to address different fading channel status, so that an optimal TPMI can be found for data transmission</w:t>
      </w:r>
      <w:r w:rsidR="004023A5">
        <w:rPr>
          <w:lang w:val="en-US" w:eastAsia="zh-CN"/>
        </w:rPr>
        <w:t>.</w:t>
      </w:r>
      <w:r>
        <w:rPr>
          <w:lang w:val="en-US" w:eastAsia="zh-CN"/>
        </w:rPr>
        <w:t xml:space="preserve"> </w:t>
      </w:r>
      <w:r w:rsidR="00725ADC">
        <w:rPr>
          <w:lang w:val="en-US" w:eastAsia="zh-CN"/>
        </w:rPr>
        <w:t>However</w:t>
      </w:r>
      <w:r>
        <w:rPr>
          <w:lang w:val="en-US" w:eastAsia="zh-CN"/>
        </w:rPr>
        <w:t xml:space="preserve">, in RF conformance test which is performed in noise free anechoic chamber, there is no performance difference expected for different 2TX TPMIs. </w:t>
      </w:r>
      <w:r w:rsidR="00725ADC">
        <w:rPr>
          <w:lang w:val="en-US" w:eastAsia="zh-CN"/>
        </w:rPr>
        <w:t>In order not to bring unnecessary complicity to conformance test, it is suggested not to apply optimal TPMI to RF conformance test unless critical issue identified.</w:t>
      </w:r>
    </w:p>
    <w:p w14:paraId="2D0535D4" w14:textId="49B03DA2" w:rsidR="0041413C" w:rsidRDefault="0044617F" w:rsidP="00C90FD3">
      <w:pPr>
        <w:spacing w:after="120"/>
        <w:ind w:left="1418" w:hanging="1418"/>
        <w:rPr>
          <w:b/>
          <w:bCs/>
        </w:rPr>
      </w:pPr>
      <w:r>
        <w:rPr>
          <w:b/>
          <w:bCs/>
        </w:rPr>
        <w:t xml:space="preserve">Proposal </w:t>
      </w:r>
      <w:r w:rsidR="00F5772C">
        <w:rPr>
          <w:b/>
          <w:bCs/>
        </w:rPr>
        <w:t>2</w:t>
      </w:r>
      <w:r w:rsidRPr="00DF1B01">
        <w:rPr>
          <w:b/>
          <w:bCs/>
        </w:rPr>
        <w:t>:</w:t>
      </w:r>
      <w:r w:rsidRPr="00DF1B01">
        <w:rPr>
          <w:b/>
          <w:bCs/>
        </w:rPr>
        <w:tab/>
      </w:r>
      <w:r w:rsidR="00725ADC" w:rsidRPr="00725ADC">
        <w:rPr>
          <w:b/>
          <w:bCs/>
        </w:rPr>
        <w:t>it is suggested not to apply optimal TPMI to RF conformance test unless critical issue identified.</w:t>
      </w:r>
    </w:p>
    <w:p w14:paraId="3764CAFA" w14:textId="761D5D35" w:rsidR="00235EE7" w:rsidRDefault="00235EE7" w:rsidP="00235EE7">
      <w:pPr>
        <w:pStyle w:val="1"/>
      </w:pPr>
      <w:r>
        <w:t xml:space="preserve">3. </w:t>
      </w:r>
      <w:r>
        <w:tab/>
        <w:t>Conclusion</w:t>
      </w:r>
    </w:p>
    <w:p w14:paraId="2D6833F7" w14:textId="77777777" w:rsidR="00725ADC" w:rsidRDefault="00725ADC" w:rsidP="00725ADC">
      <w:pPr>
        <w:spacing w:after="120"/>
        <w:ind w:left="1418" w:hanging="1418"/>
        <w:rPr>
          <w:b/>
          <w:bCs/>
        </w:rPr>
      </w:pPr>
      <w:r>
        <w:rPr>
          <w:b/>
          <w:bCs/>
        </w:rPr>
        <w:t>Proposal 1</w:t>
      </w:r>
      <w:r w:rsidRPr="00DF1B01">
        <w:rPr>
          <w:b/>
          <w:bCs/>
        </w:rPr>
        <w:t>:</w:t>
      </w:r>
      <w:r w:rsidRPr="00DF1B01">
        <w:rPr>
          <w:b/>
          <w:bCs/>
        </w:rPr>
        <w:tab/>
      </w:r>
      <w:r w:rsidRPr="003D1BDE">
        <w:rPr>
          <w:b/>
          <w:bCs/>
          <w:lang w:val="en-US"/>
        </w:rPr>
        <w:t xml:space="preserve">apply </w:t>
      </w:r>
      <w:r w:rsidRPr="003D1BDE">
        <w:rPr>
          <w:b/>
          <w:bCs/>
        </w:rPr>
        <w:t xml:space="preserve">fixed TPMI index=2 for </w:t>
      </w:r>
      <w:r w:rsidRPr="003D1BDE">
        <w:rPr>
          <w:b/>
          <w:bCs/>
          <w:lang w:val="en-US"/>
        </w:rPr>
        <w:t>clause 6.2 of TS 38.101-2 for nonCoherent UEs supporting uplink full power transmission mode 1</w:t>
      </w:r>
    </w:p>
    <w:p w14:paraId="743426CD" w14:textId="77777777" w:rsidR="00725ADC" w:rsidRDefault="00725ADC" w:rsidP="00725ADC">
      <w:pPr>
        <w:spacing w:after="120"/>
        <w:ind w:left="1418" w:hanging="1418"/>
        <w:rPr>
          <w:b/>
          <w:bCs/>
        </w:rPr>
      </w:pPr>
      <w:r>
        <w:rPr>
          <w:b/>
          <w:bCs/>
        </w:rPr>
        <w:t>Proposal 2</w:t>
      </w:r>
      <w:r w:rsidRPr="00DF1B01">
        <w:rPr>
          <w:b/>
          <w:bCs/>
        </w:rPr>
        <w:t>:</w:t>
      </w:r>
      <w:r w:rsidRPr="00DF1B01">
        <w:rPr>
          <w:b/>
          <w:bCs/>
        </w:rPr>
        <w:tab/>
      </w:r>
      <w:r w:rsidRPr="00725ADC">
        <w:rPr>
          <w:b/>
          <w:bCs/>
        </w:rPr>
        <w:t>it is suggested not to apply optimal TPMI to RF conformance test unless critical issue identified.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18D5B11" w14:textId="77777777" w:rsidR="004814D0" w:rsidRPr="00AC2460" w:rsidRDefault="004814D0" w:rsidP="004814D0">
      <w:pPr>
        <w:pStyle w:val="af3"/>
        <w:numPr>
          <w:ilvl w:val="0"/>
          <w:numId w:val="26"/>
        </w:numPr>
        <w:ind w:firstLineChars="0"/>
        <w:rPr>
          <w:lang w:val="en-US"/>
        </w:rPr>
      </w:pPr>
      <w:r>
        <w:t>R4-2106127    “</w:t>
      </w:r>
      <w:r w:rsidRPr="00AC2460">
        <w:t>WF on agreements and remaining issues with FR2 test method enhancements</w:t>
      </w:r>
      <w:r>
        <w:t>”, Apple</w:t>
      </w:r>
    </w:p>
    <w:p w14:paraId="0A20D226" w14:textId="77777777" w:rsidR="009925C5" w:rsidRPr="004814D0" w:rsidRDefault="009925C5" w:rsidP="009925C5">
      <w:pPr>
        <w:rPr>
          <w:rFonts w:eastAsia="Malgun Gothic"/>
          <w:lang w:val="en-US"/>
        </w:rPr>
      </w:pPr>
    </w:p>
    <w:sectPr w:rsidR="009925C5" w:rsidRPr="004814D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5C44CF" w14:textId="77777777" w:rsidR="00D8500A" w:rsidRDefault="00D8500A" w:rsidP="00707BAC">
      <w:pPr>
        <w:spacing w:after="0"/>
      </w:pPr>
      <w:r>
        <w:separator/>
      </w:r>
    </w:p>
  </w:endnote>
  <w:endnote w:type="continuationSeparator" w:id="0">
    <w:p w14:paraId="29530612" w14:textId="77777777" w:rsidR="00D8500A" w:rsidRDefault="00D8500A"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E140E" w14:textId="77777777" w:rsidR="00D8500A" w:rsidRDefault="00D8500A" w:rsidP="00707BAC">
      <w:pPr>
        <w:spacing w:after="0"/>
      </w:pPr>
      <w:r>
        <w:separator/>
      </w:r>
    </w:p>
  </w:footnote>
  <w:footnote w:type="continuationSeparator" w:id="0">
    <w:p w14:paraId="6A17D4AC" w14:textId="77777777" w:rsidR="00D8500A" w:rsidRDefault="00D8500A"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3D1488"/>
    <w:multiLevelType w:val="hybridMultilevel"/>
    <w:tmpl w:val="D5BC3D0E"/>
    <w:lvl w:ilvl="0" w:tplc="CE1A3CD4">
      <w:start w:val="1"/>
      <w:numFmt w:val="bullet"/>
      <w:lvlText w:val="–"/>
      <w:lvlJc w:val="left"/>
      <w:pPr>
        <w:tabs>
          <w:tab w:val="num" w:pos="720"/>
        </w:tabs>
        <w:ind w:left="720" w:hanging="360"/>
      </w:pPr>
      <w:rPr>
        <w:rFonts w:ascii="Arial" w:hAnsi="Arial" w:hint="default"/>
      </w:rPr>
    </w:lvl>
    <w:lvl w:ilvl="1" w:tplc="1F403BA6">
      <w:start w:val="1"/>
      <w:numFmt w:val="bullet"/>
      <w:lvlText w:val="–"/>
      <w:lvlJc w:val="left"/>
      <w:pPr>
        <w:tabs>
          <w:tab w:val="num" w:pos="1440"/>
        </w:tabs>
        <w:ind w:left="1440" w:hanging="360"/>
      </w:pPr>
      <w:rPr>
        <w:rFonts w:ascii="Arial" w:hAnsi="Arial" w:hint="default"/>
      </w:rPr>
    </w:lvl>
    <w:lvl w:ilvl="2" w:tplc="A6D4842E">
      <w:start w:val="142"/>
      <w:numFmt w:val="bullet"/>
      <w:lvlText w:val="•"/>
      <w:lvlJc w:val="left"/>
      <w:pPr>
        <w:tabs>
          <w:tab w:val="num" w:pos="2160"/>
        </w:tabs>
        <w:ind w:left="2160" w:hanging="360"/>
      </w:pPr>
      <w:rPr>
        <w:rFonts w:ascii="Arial" w:hAnsi="Arial" w:hint="default"/>
      </w:rPr>
    </w:lvl>
    <w:lvl w:ilvl="3" w:tplc="59B4AD08">
      <w:start w:val="142"/>
      <w:numFmt w:val="bullet"/>
      <w:lvlText w:val="–"/>
      <w:lvlJc w:val="left"/>
      <w:pPr>
        <w:tabs>
          <w:tab w:val="num" w:pos="2880"/>
        </w:tabs>
        <w:ind w:left="2880" w:hanging="360"/>
      </w:pPr>
      <w:rPr>
        <w:rFonts w:ascii="Arial" w:hAnsi="Arial" w:hint="default"/>
      </w:rPr>
    </w:lvl>
    <w:lvl w:ilvl="4" w:tplc="B9A81362" w:tentative="1">
      <w:start w:val="1"/>
      <w:numFmt w:val="bullet"/>
      <w:lvlText w:val="–"/>
      <w:lvlJc w:val="left"/>
      <w:pPr>
        <w:tabs>
          <w:tab w:val="num" w:pos="3600"/>
        </w:tabs>
        <w:ind w:left="3600" w:hanging="360"/>
      </w:pPr>
      <w:rPr>
        <w:rFonts w:ascii="Arial" w:hAnsi="Arial" w:hint="default"/>
      </w:rPr>
    </w:lvl>
    <w:lvl w:ilvl="5" w:tplc="DDBAD5C8" w:tentative="1">
      <w:start w:val="1"/>
      <w:numFmt w:val="bullet"/>
      <w:lvlText w:val="–"/>
      <w:lvlJc w:val="left"/>
      <w:pPr>
        <w:tabs>
          <w:tab w:val="num" w:pos="4320"/>
        </w:tabs>
        <w:ind w:left="4320" w:hanging="360"/>
      </w:pPr>
      <w:rPr>
        <w:rFonts w:ascii="Arial" w:hAnsi="Arial" w:hint="default"/>
      </w:rPr>
    </w:lvl>
    <w:lvl w:ilvl="6" w:tplc="15361218" w:tentative="1">
      <w:start w:val="1"/>
      <w:numFmt w:val="bullet"/>
      <w:lvlText w:val="–"/>
      <w:lvlJc w:val="left"/>
      <w:pPr>
        <w:tabs>
          <w:tab w:val="num" w:pos="5040"/>
        </w:tabs>
        <w:ind w:left="5040" w:hanging="360"/>
      </w:pPr>
      <w:rPr>
        <w:rFonts w:ascii="Arial" w:hAnsi="Arial" w:hint="default"/>
      </w:rPr>
    </w:lvl>
    <w:lvl w:ilvl="7" w:tplc="9B348E56" w:tentative="1">
      <w:start w:val="1"/>
      <w:numFmt w:val="bullet"/>
      <w:lvlText w:val="–"/>
      <w:lvlJc w:val="left"/>
      <w:pPr>
        <w:tabs>
          <w:tab w:val="num" w:pos="5760"/>
        </w:tabs>
        <w:ind w:left="5760" w:hanging="360"/>
      </w:pPr>
      <w:rPr>
        <w:rFonts w:ascii="Arial" w:hAnsi="Arial" w:hint="default"/>
      </w:rPr>
    </w:lvl>
    <w:lvl w:ilvl="8" w:tplc="0024A3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74876ED"/>
    <w:multiLevelType w:val="hybridMultilevel"/>
    <w:tmpl w:val="7E68CF8E"/>
    <w:lvl w:ilvl="0" w:tplc="2EE2DEAE">
      <w:start w:val="1"/>
      <w:numFmt w:val="bullet"/>
      <w:lvlText w:val="•"/>
      <w:lvlJc w:val="left"/>
      <w:pPr>
        <w:tabs>
          <w:tab w:val="num" w:pos="720"/>
        </w:tabs>
        <w:ind w:left="720" w:hanging="360"/>
      </w:pPr>
      <w:rPr>
        <w:rFonts w:ascii="Arial" w:hAnsi="Arial" w:hint="default"/>
      </w:rPr>
    </w:lvl>
    <w:lvl w:ilvl="1" w:tplc="511C14E0">
      <w:start w:val="174"/>
      <w:numFmt w:val="bullet"/>
      <w:lvlText w:val="•"/>
      <w:lvlJc w:val="left"/>
      <w:pPr>
        <w:tabs>
          <w:tab w:val="num" w:pos="1440"/>
        </w:tabs>
        <w:ind w:left="1440" w:hanging="360"/>
      </w:pPr>
      <w:rPr>
        <w:rFonts w:ascii="Arial" w:hAnsi="Arial" w:hint="default"/>
      </w:rPr>
    </w:lvl>
    <w:lvl w:ilvl="2" w:tplc="5BDA14E2">
      <w:start w:val="174"/>
      <w:numFmt w:val="bullet"/>
      <w:lvlText w:val="•"/>
      <w:lvlJc w:val="left"/>
      <w:pPr>
        <w:tabs>
          <w:tab w:val="num" w:pos="2160"/>
        </w:tabs>
        <w:ind w:left="2160" w:hanging="360"/>
      </w:pPr>
      <w:rPr>
        <w:rFonts w:ascii="Arial" w:hAnsi="Arial" w:hint="default"/>
      </w:rPr>
    </w:lvl>
    <w:lvl w:ilvl="3" w:tplc="74F8C7AC" w:tentative="1">
      <w:start w:val="1"/>
      <w:numFmt w:val="bullet"/>
      <w:lvlText w:val="•"/>
      <w:lvlJc w:val="left"/>
      <w:pPr>
        <w:tabs>
          <w:tab w:val="num" w:pos="2880"/>
        </w:tabs>
        <w:ind w:left="2880" w:hanging="360"/>
      </w:pPr>
      <w:rPr>
        <w:rFonts w:ascii="Arial" w:hAnsi="Arial" w:hint="default"/>
      </w:rPr>
    </w:lvl>
    <w:lvl w:ilvl="4" w:tplc="AF8ADF02" w:tentative="1">
      <w:start w:val="1"/>
      <w:numFmt w:val="bullet"/>
      <w:lvlText w:val="•"/>
      <w:lvlJc w:val="left"/>
      <w:pPr>
        <w:tabs>
          <w:tab w:val="num" w:pos="3600"/>
        </w:tabs>
        <w:ind w:left="3600" w:hanging="360"/>
      </w:pPr>
      <w:rPr>
        <w:rFonts w:ascii="Arial" w:hAnsi="Arial" w:hint="default"/>
      </w:rPr>
    </w:lvl>
    <w:lvl w:ilvl="5" w:tplc="EA4CF84C" w:tentative="1">
      <w:start w:val="1"/>
      <w:numFmt w:val="bullet"/>
      <w:lvlText w:val="•"/>
      <w:lvlJc w:val="left"/>
      <w:pPr>
        <w:tabs>
          <w:tab w:val="num" w:pos="4320"/>
        </w:tabs>
        <w:ind w:left="4320" w:hanging="360"/>
      </w:pPr>
      <w:rPr>
        <w:rFonts w:ascii="Arial" w:hAnsi="Arial" w:hint="default"/>
      </w:rPr>
    </w:lvl>
    <w:lvl w:ilvl="6" w:tplc="0680DA58" w:tentative="1">
      <w:start w:val="1"/>
      <w:numFmt w:val="bullet"/>
      <w:lvlText w:val="•"/>
      <w:lvlJc w:val="left"/>
      <w:pPr>
        <w:tabs>
          <w:tab w:val="num" w:pos="5040"/>
        </w:tabs>
        <w:ind w:left="5040" w:hanging="360"/>
      </w:pPr>
      <w:rPr>
        <w:rFonts w:ascii="Arial" w:hAnsi="Arial" w:hint="default"/>
      </w:rPr>
    </w:lvl>
    <w:lvl w:ilvl="7" w:tplc="F9A6065C" w:tentative="1">
      <w:start w:val="1"/>
      <w:numFmt w:val="bullet"/>
      <w:lvlText w:val="•"/>
      <w:lvlJc w:val="left"/>
      <w:pPr>
        <w:tabs>
          <w:tab w:val="num" w:pos="5760"/>
        </w:tabs>
        <w:ind w:left="5760" w:hanging="360"/>
      </w:pPr>
      <w:rPr>
        <w:rFonts w:ascii="Arial" w:hAnsi="Arial" w:hint="default"/>
      </w:rPr>
    </w:lvl>
    <w:lvl w:ilvl="8" w:tplc="711472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9C74E29"/>
    <w:multiLevelType w:val="hybridMultilevel"/>
    <w:tmpl w:val="793C9700"/>
    <w:lvl w:ilvl="0" w:tplc="737A97B8">
      <w:start w:val="1"/>
      <w:numFmt w:val="bullet"/>
      <w:lvlText w:val="–"/>
      <w:lvlJc w:val="left"/>
      <w:pPr>
        <w:tabs>
          <w:tab w:val="num" w:pos="360"/>
        </w:tabs>
        <w:ind w:left="360" w:hanging="360"/>
      </w:pPr>
      <w:rPr>
        <w:rFonts w:ascii="Arial" w:hAnsi="Arial" w:hint="default"/>
      </w:rPr>
    </w:lvl>
    <w:lvl w:ilvl="1" w:tplc="06067BE6">
      <w:start w:val="1"/>
      <w:numFmt w:val="bullet"/>
      <w:lvlText w:val="–"/>
      <w:lvlJc w:val="left"/>
      <w:pPr>
        <w:tabs>
          <w:tab w:val="num" w:pos="1080"/>
        </w:tabs>
        <w:ind w:left="1080" w:hanging="360"/>
      </w:pPr>
      <w:rPr>
        <w:rFonts w:ascii="Arial" w:hAnsi="Arial" w:hint="default"/>
      </w:rPr>
    </w:lvl>
    <w:lvl w:ilvl="2" w:tplc="C45455BA">
      <w:start w:val="142"/>
      <w:numFmt w:val="bullet"/>
      <w:lvlText w:val="•"/>
      <w:lvlJc w:val="left"/>
      <w:pPr>
        <w:tabs>
          <w:tab w:val="num" w:pos="1800"/>
        </w:tabs>
        <w:ind w:left="1800" w:hanging="360"/>
      </w:pPr>
      <w:rPr>
        <w:rFonts w:ascii="Arial" w:hAnsi="Arial" w:hint="default"/>
      </w:rPr>
    </w:lvl>
    <w:lvl w:ilvl="3" w:tplc="23304DFC" w:tentative="1">
      <w:start w:val="1"/>
      <w:numFmt w:val="bullet"/>
      <w:lvlText w:val="–"/>
      <w:lvlJc w:val="left"/>
      <w:pPr>
        <w:tabs>
          <w:tab w:val="num" w:pos="2520"/>
        </w:tabs>
        <w:ind w:left="2520" w:hanging="360"/>
      </w:pPr>
      <w:rPr>
        <w:rFonts w:ascii="Arial" w:hAnsi="Arial" w:hint="default"/>
      </w:rPr>
    </w:lvl>
    <w:lvl w:ilvl="4" w:tplc="151C38B0" w:tentative="1">
      <w:start w:val="1"/>
      <w:numFmt w:val="bullet"/>
      <w:lvlText w:val="–"/>
      <w:lvlJc w:val="left"/>
      <w:pPr>
        <w:tabs>
          <w:tab w:val="num" w:pos="3240"/>
        </w:tabs>
        <w:ind w:left="3240" w:hanging="360"/>
      </w:pPr>
      <w:rPr>
        <w:rFonts w:ascii="Arial" w:hAnsi="Arial" w:hint="default"/>
      </w:rPr>
    </w:lvl>
    <w:lvl w:ilvl="5" w:tplc="18AE54C8" w:tentative="1">
      <w:start w:val="1"/>
      <w:numFmt w:val="bullet"/>
      <w:lvlText w:val="–"/>
      <w:lvlJc w:val="left"/>
      <w:pPr>
        <w:tabs>
          <w:tab w:val="num" w:pos="3960"/>
        </w:tabs>
        <w:ind w:left="3960" w:hanging="360"/>
      </w:pPr>
      <w:rPr>
        <w:rFonts w:ascii="Arial" w:hAnsi="Arial" w:hint="default"/>
      </w:rPr>
    </w:lvl>
    <w:lvl w:ilvl="6" w:tplc="CFBAC954" w:tentative="1">
      <w:start w:val="1"/>
      <w:numFmt w:val="bullet"/>
      <w:lvlText w:val="–"/>
      <w:lvlJc w:val="left"/>
      <w:pPr>
        <w:tabs>
          <w:tab w:val="num" w:pos="4680"/>
        </w:tabs>
        <w:ind w:left="4680" w:hanging="360"/>
      </w:pPr>
      <w:rPr>
        <w:rFonts w:ascii="Arial" w:hAnsi="Arial" w:hint="default"/>
      </w:rPr>
    </w:lvl>
    <w:lvl w:ilvl="7" w:tplc="4C96A540" w:tentative="1">
      <w:start w:val="1"/>
      <w:numFmt w:val="bullet"/>
      <w:lvlText w:val="–"/>
      <w:lvlJc w:val="left"/>
      <w:pPr>
        <w:tabs>
          <w:tab w:val="num" w:pos="5400"/>
        </w:tabs>
        <w:ind w:left="5400" w:hanging="360"/>
      </w:pPr>
      <w:rPr>
        <w:rFonts w:ascii="Arial" w:hAnsi="Arial" w:hint="default"/>
      </w:rPr>
    </w:lvl>
    <w:lvl w:ilvl="8" w:tplc="10FC0F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8F67AF"/>
    <w:multiLevelType w:val="hybridMultilevel"/>
    <w:tmpl w:val="E6FA8A30"/>
    <w:lvl w:ilvl="0" w:tplc="B2F4C5B6">
      <w:start w:val="1"/>
      <w:numFmt w:val="bullet"/>
      <w:lvlText w:val="–"/>
      <w:lvlJc w:val="left"/>
      <w:pPr>
        <w:tabs>
          <w:tab w:val="num" w:pos="360"/>
        </w:tabs>
        <w:ind w:left="360" w:hanging="360"/>
      </w:pPr>
      <w:rPr>
        <w:rFonts w:ascii="Arial" w:hAnsi="Arial" w:hint="default"/>
      </w:rPr>
    </w:lvl>
    <w:lvl w:ilvl="1" w:tplc="8FA64CD0">
      <w:start w:val="1"/>
      <w:numFmt w:val="bullet"/>
      <w:lvlText w:val="–"/>
      <w:lvlJc w:val="left"/>
      <w:pPr>
        <w:tabs>
          <w:tab w:val="num" w:pos="1080"/>
        </w:tabs>
        <w:ind w:left="1080" w:hanging="360"/>
      </w:pPr>
      <w:rPr>
        <w:rFonts w:ascii="Arial" w:hAnsi="Arial" w:hint="default"/>
      </w:rPr>
    </w:lvl>
    <w:lvl w:ilvl="2" w:tplc="3F3A2080">
      <w:start w:val="142"/>
      <w:numFmt w:val="bullet"/>
      <w:lvlText w:val="•"/>
      <w:lvlJc w:val="left"/>
      <w:pPr>
        <w:tabs>
          <w:tab w:val="num" w:pos="1800"/>
        </w:tabs>
        <w:ind w:left="1800" w:hanging="360"/>
      </w:pPr>
      <w:rPr>
        <w:rFonts w:ascii="Arial" w:hAnsi="Arial" w:hint="default"/>
      </w:rPr>
    </w:lvl>
    <w:lvl w:ilvl="3" w:tplc="5A609C4C" w:tentative="1">
      <w:start w:val="1"/>
      <w:numFmt w:val="bullet"/>
      <w:lvlText w:val="–"/>
      <w:lvlJc w:val="left"/>
      <w:pPr>
        <w:tabs>
          <w:tab w:val="num" w:pos="2520"/>
        </w:tabs>
        <w:ind w:left="2520" w:hanging="360"/>
      </w:pPr>
      <w:rPr>
        <w:rFonts w:ascii="Arial" w:hAnsi="Arial" w:hint="default"/>
      </w:rPr>
    </w:lvl>
    <w:lvl w:ilvl="4" w:tplc="85741C8A" w:tentative="1">
      <w:start w:val="1"/>
      <w:numFmt w:val="bullet"/>
      <w:lvlText w:val="–"/>
      <w:lvlJc w:val="left"/>
      <w:pPr>
        <w:tabs>
          <w:tab w:val="num" w:pos="3240"/>
        </w:tabs>
        <w:ind w:left="3240" w:hanging="360"/>
      </w:pPr>
      <w:rPr>
        <w:rFonts w:ascii="Arial" w:hAnsi="Arial" w:hint="default"/>
      </w:rPr>
    </w:lvl>
    <w:lvl w:ilvl="5" w:tplc="3B6E64A2" w:tentative="1">
      <w:start w:val="1"/>
      <w:numFmt w:val="bullet"/>
      <w:lvlText w:val="–"/>
      <w:lvlJc w:val="left"/>
      <w:pPr>
        <w:tabs>
          <w:tab w:val="num" w:pos="3960"/>
        </w:tabs>
        <w:ind w:left="3960" w:hanging="360"/>
      </w:pPr>
      <w:rPr>
        <w:rFonts w:ascii="Arial" w:hAnsi="Arial" w:hint="default"/>
      </w:rPr>
    </w:lvl>
    <w:lvl w:ilvl="6" w:tplc="35CEA938" w:tentative="1">
      <w:start w:val="1"/>
      <w:numFmt w:val="bullet"/>
      <w:lvlText w:val="–"/>
      <w:lvlJc w:val="left"/>
      <w:pPr>
        <w:tabs>
          <w:tab w:val="num" w:pos="4680"/>
        </w:tabs>
        <w:ind w:left="4680" w:hanging="360"/>
      </w:pPr>
      <w:rPr>
        <w:rFonts w:ascii="Arial" w:hAnsi="Arial" w:hint="default"/>
      </w:rPr>
    </w:lvl>
    <w:lvl w:ilvl="7" w:tplc="41DE485A" w:tentative="1">
      <w:start w:val="1"/>
      <w:numFmt w:val="bullet"/>
      <w:lvlText w:val="–"/>
      <w:lvlJc w:val="left"/>
      <w:pPr>
        <w:tabs>
          <w:tab w:val="num" w:pos="5400"/>
        </w:tabs>
        <w:ind w:left="5400" w:hanging="360"/>
      </w:pPr>
      <w:rPr>
        <w:rFonts w:ascii="Arial" w:hAnsi="Arial" w:hint="default"/>
      </w:rPr>
    </w:lvl>
    <w:lvl w:ilvl="8" w:tplc="1C904A2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8278FE"/>
    <w:multiLevelType w:val="hybridMultilevel"/>
    <w:tmpl w:val="0A6E90D8"/>
    <w:lvl w:ilvl="0" w:tplc="46EC5A94">
      <w:start w:val="1"/>
      <w:numFmt w:val="bullet"/>
      <w:lvlText w:val="–"/>
      <w:lvlJc w:val="left"/>
      <w:pPr>
        <w:tabs>
          <w:tab w:val="num" w:pos="360"/>
        </w:tabs>
        <w:ind w:left="360" w:hanging="360"/>
      </w:pPr>
      <w:rPr>
        <w:rFonts w:ascii="Arial" w:hAnsi="Arial" w:hint="default"/>
      </w:rPr>
    </w:lvl>
    <w:lvl w:ilvl="1" w:tplc="4A88A754">
      <w:start w:val="1"/>
      <w:numFmt w:val="bullet"/>
      <w:lvlText w:val="–"/>
      <w:lvlJc w:val="left"/>
      <w:pPr>
        <w:tabs>
          <w:tab w:val="num" w:pos="1080"/>
        </w:tabs>
        <w:ind w:left="1080" w:hanging="360"/>
      </w:pPr>
      <w:rPr>
        <w:rFonts w:ascii="Arial" w:hAnsi="Arial" w:hint="default"/>
      </w:rPr>
    </w:lvl>
    <w:lvl w:ilvl="2" w:tplc="C610F434">
      <w:start w:val="142"/>
      <w:numFmt w:val="bullet"/>
      <w:lvlText w:val="•"/>
      <w:lvlJc w:val="left"/>
      <w:pPr>
        <w:tabs>
          <w:tab w:val="num" w:pos="1800"/>
        </w:tabs>
        <w:ind w:left="1800" w:hanging="360"/>
      </w:pPr>
      <w:rPr>
        <w:rFonts w:ascii="Arial" w:hAnsi="Arial" w:hint="default"/>
      </w:rPr>
    </w:lvl>
    <w:lvl w:ilvl="3" w:tplc="21DEBBD2">
      <w:start w:val="142"/>
      <w:numFmt w:val="bullet"/>
      <w:lvlText w:val="–"/>
      <w:lvlJc w:val="left"/>
      <w:pPr>
        <w:tabs>
          <w:tab w:val="num" w:pos="2520"/>
        </w:tabs>
        <w:ind w:left="2520" w:hanging="360"/>
      </w:pPr>
      <w:rPr>
        <w:rFonts w:ascii="Arial" w:hAnsi="Arial" w:hint="default"/>
      </w:rPr>
    </w:lvl>
    <w:lvl w:ilvl="4" w:tplc="1BC6BE44" w:tentative="1">
      <w:start w:val="1"/>
      <w:numFmt w:val="bullet"/>
      <w:lvlText w:val="–"/>
      <w:lvlJc w:val="left"/>
      <w:pPr>
        <w:tabs>
          <w:tab w:val="num" w:pos="3240"/>
        </w:tabs>
        <w:ind w:left="3240" w:hanging="360"/>
      </w:pPr>
      <w:rPr>
        <w:rFonts w:ascii="Arial" w:hAnsi="Arial" w:hint="default"/>
      </w:rPr>
    </w:lvl>
    <w:lvl w:ilvl="5" w:tplc="E0F0D36C" w:tentative="1">
      <w:start w:val="1"/>
      <w:numFmt w:val="bullet"/>
      <w:lvlText w:val="–"/>
      <w:lvlJc w:val="left"/>
      <w:pPr>
        <w:tabs>
          <w:tab w:val="num" w:pos="3960"/>
        </w:tabs>
        <w:ind w:left="3960" w:hanging="360"/>
      </w:pPr>
      <w:rPr>
        <w:rFonts w:ascii="Arial" w:hAnsi="Arial" w:hint="default"/>
      </w:rPr>
    </w:lvl>
    <w:lvl w:ilvl="6" w:tplc="7E9E0BE0" w:tentative="1">
      <w:start w:val="1"/>
      <w:numFmt w:val="bullet"/>
      <w:lvlText w:val="–"/>
      <w:lvlJc w:val="left"/>
      <w:pPr>
        <w:tabs>
          <w:tab w:val="num" w:pos="4680"/>
        </w:tabs>
        <w:ind w:left="4680" w:hanging="360"/>
      </w:pPr>
      <w:rPr>
        <w:rFonts w:ascii="Arial" w:hAnsi="Arial" w:hint="default"/>
      </w:rPr>
    </w:lvl>
    <w:lvl w:ilvl="7" w:tplc="EFECDF76" w:tentative="1">
      <w:start w:val="1"/>
      <w:numFmt w:val="bullet"/>
      <w:lvlText w:val="–"/>
      <w:lvlJc w:val="left"/>
      <w:pPr>
        <w:tabs>
          <w:tab w:val="num" w:pos="5400"/>
        </w:tabs>
        <w:ind w:left="5400" w:hanging="360"/>
      </w:pPr>
      <w:rPr>
        <w:rFonts w:ascii="Arial" w:hAnsi="Arial" w:hint="default"/>
      </w:rPr>
    </w:lvl>
    <w:lvl w:ilvl="8" w:tplc="476A07E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3051F60"/>
    <w:multiLevelType w:val="hybridMultilevel"/>
    <w:tmpl w:val="C038C178"/>
    <w:lvl w:ilvl="0" w:tplc="BBFC2840">
      <w:start w:val="1"/>
      <w:numFmt w:val="bullet"/>
      <w:lvlText w:val="•"/>
      <w:lvlJc w:val="left"/>
      <w:pPr>
        <w:tabs>
          <w:tab w:val="num" w:pos="360"/>
        </w:tabs>
        <w:ind w:left="360" w:hanging="360"/>
      </w:pPr>
      <w:rPr>
        <w:rFonts w:ascii="Arial" w:hAnsi="Arial" w:hint="default"/>
      </w:rPr>
    </w:lvl>
    <w:lvl w:ilvl="1" w:tplc="8DA0C0FC">
      <w:start w:val="1"/>
      <w:numFmt w:val="bullet"/>
      <w:lvlText w:val="•"/>
      <w:lvlJc w:val="left"/>
      <w:pPr>
        <w:tabs>
          <w:tab w:val="num" w:pos="1080"/>
        </w:tabs>
        <w:ind w:left="1080" w:hanging="360"/>
      </w:pPr>
      <w:rPr>
        <w:rFonts w:ascii="Arial" w:hAnsi="Arial" w:hint="default"/>
      </w:rPr>
    </w:lvl>
    <w:lvl w:ilvl="2" w:tplc="3020A8BE">
      <w:start w:val="1"/>
      <w:numFmt w:val="bullet"/>
      <w:lvlText w:val="•"/>
      <w:lvlJc w:val="left"/>
      <w:pPr>
        <w:tabs>
          <w:tab w:val="num" w:pos="1800"/>
        </w:tabs>
        <w:ind w:left="1800" w:hanging="360"/>
      </w:pPr>
      <w:rPr>
        <w:rFonts w:ascii="Arial" w:hAnsi="Arial" w:hint="default"/>
      </w:rPr>
    </w:lvl>
    <w:lvl w:ilvl="3" w:tplc="362EFF6E">
      <w:start w:val="142"/>
      <w:numFmt w:val="bullet"/>
      <w:lvlText w:val="–"/>
      <w:lvlJc w:val="left"/>
      <w:pPr>
        <w:tabs>
          <w:tab w:val="num" w:pos="2520"/>
        </w:tabs>
        <w:ind w:left="2520" w:hanging="360"/>
      </w:pPr>
      <w:rPr>
        <w:rFonts w:ascii="Arial" w:hAnsi="Arial" w:hint="default"/>
      </w:rPr>
    </w:lvl>
    <w:lvl w:ilvl="4" w:tplc="E7C4ECEE" w:tentative="1">
      <w:start w:val="1"/>
      <w:numFmt w:val="bullet"/>
      <w:lvlText w:val="•"/>
      <w:lvlJc w:val="left"/>
      <w:pPr>
        <w:tabs>
          <w:tab w:val="num" w:pos="3240"/>
        </w:tabs>
        <w:ind w:left="3240" w:hanging="360"/>
      </w:pPr>
      <w:rPr>
        <w:rFonts w:ascii="Arial" w:hAnsi="Arial" w:hint="default"/>
      </w:rPr>
    </w:lvl>
    <w:lvl w:ilvl="5" w:tplc="E3DC2CD6" w:tentative="1">
      <w:start w:val="1"/>
      <w:numFmt w:val="bullet"/>
      <w:lvlText w:val="•"/>
      <w:lvlJc w:val="left"/>
      <w:pPr>
        <w:tabs>
          <w:tab w:val="num" w:pos="3960"/>
        </w:tabs>
        <w:ind w:left="3960" w:hanging="360"/>
      </w:pPr>
      <w:rPr>
        <w:rFonts w:ascii="Arial" w:hAnsi="Arial" w:hint="default"/>
      </w:rPr>
    </w:lvl>
    <w:lvl w:ilvl="6" w:tplc="73C49C2A" w:tentative="1">
      <w:start w:val="1"/>
      <w:numFmt w:val="bullet"/>
      <w:lvlText w:val="•"/>
      <w:lvlJc w:val="left"/>
      <w:pPr>
        <w:tabs>
          <w:tab w:val="num" w:pos="4680"/>
        </w:tabs>
        <w:ind w:left="4680" w:hanging="360"/>
      </w:pPr>
      <w:rPr>
        <w:rFonts w:ascii="Arial" w:hAnsi="Arial" w:hint="default"/>
      </w:rPr>
    </w:lvl>
    <w:lvl w:ilvl="7" w:tplc="9A5E8AF4" w:tentative="1">
      <w:start w:val="1"/>
      <w:numFmt w:val="bullet"/>
      <w:lvlText w:val="•"/>
      <w:lvlJc w:val="left"/>
      <w:pPr>
        <w:tabs>
          <w:tab w:val="num" w:pos="5400"/>
        </w:tabs>
        <w:ind w:left="5400" w:hanging="360"/>
      </w:pPr>
      <w:rPr>
        <w:rFonts w:ascii="Arial" w:hAnsi="Arial" w:hint="default"/>
      </w:rPr>
    </w:lvl>
    <w:lvl w:ilvl="8" w:tplc="4E5EBF6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9D7C3F"/>
    <w:multiLevelType w:val="hybridMultilevel"/>
    <w:tmpl w:val="9FF64B74"/>
    <w:lvl w:ilvl="0" w:tplc="FFFFFFFF">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B6334D2"/>
    <w:multiLevelType w:val="hybridMultilevel"/>
    <w:tmpl w:val="172C3C32"/>
    <w:lvl w:ilvl="0" w:tplc="9B0EDF70">
      <w:start w:val="1"/>
      <w:numFmt w:val="bullet"/>
      <w:lvlText w:val="•"/>
      <w:lvlJc w:val="left"/>
      <w:pPr>
        <w:tabs>
          <w:tab w:val="num" w:pos="720"/>
        </w:tabs>
        <w:ind w:left="720" w:hanging="360"/>
      </w:pPr>
      <w:rPr>
        <w:rFonts w:ascii="Arial" w:hAnsi="Arial" w:hint="default"/>
      </w:rPr>
    </w:lvl>
    <w:lvl w:ilvl="1" w:tplc="7190211A">
      <w:start w:val="1"/>
      <w:numFmt w:val="bullet"/>
      <w:lvlText w:val="•"/>
      <w:lvlJc w:val="left"/>
      <w:pPr>
        <w:tabs>
          <w:tab w:val="num" w:pos="1440"/>
        </w:tabs>
        <w:ind w:left="1440" w:hanging="360"/>
      </w:pPr>
      <w:rPr>
        <w:rFonts w:ascii="Arial" w:hAnsi="Arial" w:hint="default"/>
      </w:rPr>
    </w:lvl>
    <w:lvl w:ilvl="2" w:tplc="49AE14DE" w:tentative="1">
      <w:start w:val="1"/>
      <w:numFmt w:val="bullet"/>
      <w:lvlText w:val="•"/>
      <w:lvlJc w:val="left"/>
      <w:pPr>
        <w:tabs>
          <w:tab w:val="num" w:pos="2160"/>
        </w:tabs>
        <w:ind w:left="2160" w:hanging="360"/>
      </w:pPr>
      <w:rPr>
        <w:rFonts w:ascii="Arial" w:hAnsi="Arial" w:hint="default"/>
      </w:rPr>
    </w:lvl>
    <w:lvl w:ilvl="3" w:tplc="0132304A" w:tentative="1">
      <w:start w:val="1"/>
      <w:numFmt w:val="bullet"/>
      <w:lvlText w:val="•"/>
      <w:lvlJc w:val="left"/>
      <w:pPr>
        <w:tabs>
          <w:tab w:val="num" w:pos="2880"/>
        </w:tabs>
        <w:ind w:left="2880" w:hanging="360"/>
      </w:pPr>
      <w:rPr>
        <w:rFonts w:ascii="Arial" w:hAnsi="Arial" w:hint="default"/>
      </w:rPr>
    </w:lvl>
    <w:lvl w:ilvl="4" w:tplc="F2AAE4DE" w:tentative="1">
      <w:start w:val="1"/>
      <w:numFmt w:val="bullet"/>
      <w:lvlText w:val="•"/>
      <w:lvlJc w:val="left"/>
      <w:pPr>
        <w:tabs>
          <w:tab w:val="num" w:pos="3600"/>
        </w:tabs>
        <w:ind w:left="3600" w:hanging="360"/>
      </w:pPr>
      <w:rPr>
        <w:rFonts w:ascii="Arial" w:hAnsi="Arial" w:hint="default"/>
      </w:rPr>
    </w:lvl>
    <w:lvl w:ilvl="5" w:tplc="D76ABF42" w:tentative="1">
      <w:start w:val="1"/>
      <w:numFmt w:val="bullet"/>
      <w:lvlText w:val="•"/>
      <w:lvlJc w:val="left"/>
      <w:pPr>
        <w:tabs>
          <w:tab w:val="num" w:pos="4320"/>
        </w:tabs>
        <w:ind w:left="4320" w:hanging="360"/>
      </w:pPr>
      <w:rPr>
        <w:rFonts w:ascii="Arial" w:hAnsi="Arial" w:hint="default"/>
      </w:rPr>
    </w:lvl>
    <w:lvl w:ilvl="6" w:tplc="C1021FD8" w:tentative="1">
      <w:start w:val="1"/>
      <w:numFmt w:val="bullet"/>
      <w:lvlText w:val="•"/>
      <w:lvlJc w:val="left"/>
      <w:pPr>
        <w:tabs>
          <w:tab w:val="num" w:pos="5040"/>
        </w:tabs>
        <w:ind w:left="5040" w:hanging="360"/>
      </w:pPr>
      <w:rPr>
        <w:rFonts w:ascii="Arial" w:hAnsi="Arial" w:hint="default"/>
      </w:rPr>
    </w:lvl>
    <w:lvl w:ilvl="7" w:tplc="FA60E18A" w:tentative="1">
      <w:start w:val="1"/>
      <w:numFmt w:val="bullet"/>
      <w:lvlText w:val="•"/>
      <w:lvlJc w:val="left"/>
      <w:pPr>
        <w:tabs>
          <w:tab w:val="num" w:pos="5760"/>
        </w:tabs>
        <w:ind w:left="5760" w:hanging="360"/>
      </w:pPr>
      <w:rPr>
        <w:rFonts w:ascii="Arial" w:hAnsi="Arial" w:hint="default"/>
      </w:rPr>
    </w:lvl>
    <w:lvl w:ilvl="8" w:tplc="1EC84B2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C221A"/>
    <w:multiLevelType w:val="hybridMultilevel"/>
    <w:tmpl w:val="117AE86C"/>
    <w:lvl w:ilvl="0" w:tplc="0FC42168">
      <w:start w:val="1"/>
      <w:numFmt w:val="bullet"/>
      <w:lvlText w:val="•"/>
      <w:lvlJc w:val="left"/>
      <w:pPr>
        <w:tabs>
          <w:tab w:val="num" w:pos="720"/>
        </w:tabs>
        <w:ind w:left="720" w:hanging="360"/>
      </w:pPr>
      <w:rPr>
        <w:rFonts w:ascii="Arial" w:hAnsi="Arial" w:hint="default"/>
      </w:rPr>
    </w:lvl>
    <w:lvl w:ilvl="1" w:tplc="E466BC52">
      <w:start w:val="1"/>
      <w:numFmt w:val="bullet"/>
      <w:lvlText w:val="•"/>
      <w:lvlJc w:val="left"/>
      <w:pPr>
        <w:tabs>
          <w:tab w:val="num" w:pos="1440"/>
        </w:tabs>
        <w:ind w:left="1440" w:hanging="360"/>
      </w:pPr>
      <w:rPr>
        <w:rFonts w:ascii="Arial" w:hAnsi="Arial" w:hint="default"/>
      </w:rPr>
    </w:lvl>
    <w:lvl w:ilvl="2" w:tplc="1236E3DC">
      <w:start w:val="154"/>
      <w:numFmt w:val="bullet"/>
      <w:lvlText w:val="•"/>
      <w:lvlJc w:val="left"/>
      <w:pPr>
        <w:tabs>
          <w:tab w:val="num" w:pos="2160"/>
        </w:tabs>
        <w:ind w:left="2160" w:hanging="360"/>
      </w:pPr>
      <w:rPr>
        <w:rFonts w:ascii="Arial" w:hAnsi="Arial" w:hint="default"/>
      </w:rPr>
    </w:lvl>
    <w:lvl w:ilvl="3" w:tplc="EA8237E4" w:tentative="1">
      <w:start w:val="1"/>
      <w:numFmt w:val="bullet"/>
      <w:lvlText w:val="•"/>
      <w:lvlJc w:val="left"/>
      <w:pPr>
        <w:tabs>
          <w:tab w:val="num" w:pos="2880"/>
        </w:tabs>
        <w:ind w:left="2880" w:hanging="360"/>
      </w:pPr>
      <w:rPr>
        <w:rFonts w:ascii="Arial" w:hAnsi="Arial" w:hint="default"/>
      </w:rPr>
    </w:lvl>
    <w:lvl w:ilvl="4" w:tplc="8C287768" w:tentative="1">
      <w:start w:val="1"/>
      <w:numFmt w:val="bullet"/>
      <w:lvlText w:val="•"/>
      <w:lvlJc w:val="left"/>
      <w:pPr>
        <w:tabs>
          <w:tab w:val="num" w:pos="3600"/>
        </w:tabs>
        <w:ind w:left="3600" w:hanging="360"/>
      </w:pPr>
      <w:rPr>
        <w:rFonts w:ascii="Arial" w:hAnsi="Arial" w:hint="default"/>
      </w:rPr>
    </w:lvl>
    <w:lvl w:ilvl="5" w:tplc="3F062624" w:tentative="1">
      <w:start w:val="1"/>
      <w:numFmt w:val="bullet"/>
      <w:lvlText w:val="•"/>
      <w:lvlJc w:val="left"/>
      <w:pPr>
        <w:tabs>
          <w:tab w:val="num" w:pos="4320"/>
        </w:tabs>
        <w:ind w:left="4320" w:hanging="360"/>
      </w:pPr>
      <w:rPr>
        <w:rFonts w:ascii="Arial" w:hAnsi="Arial" w:hint="default"/>
      </w:rPr>
    </w:lvl>
    <w:lvl w:ilvl="6" w:tplc="8E7CB188" w:tentative="1">
      <w:start w:val="1"/>
      <w:numFmt w:val="bullet"/>
      <w:lvlText w:val="•"/>
      <w:lvlJc w:val="left"/>
      <w:pPr>
        <w:tabs>
          <w:tab w:val="num" w:pos="5040"/>
        </w:tabs>
        <w:ind w:left="5040" w:hanging="360"/>
      </w:pPr>
      <w:rPr>
        <w:rFonts w:ascii="Arial" w:hAnsi="Arial" w:hint="default"/>
      </w:rPr>
    </w:lvl>
    <w:lvl w:ilvl="7" w:tplc="6526EB9C" w:tentative="1">
      <w:start w:val="1"/>
      <w:numFmt w:val="bullet"/>
      <w:lvlText w:val="•"/>
      <w:lvlJc w:val="left"/>
      <w:pPr>
        <w:tabs>
          <w:tab w:val="num" w:pos="5760"/>
        </w:tabs>
        <w:ind w:left="5760" w:hanging="360"/>
      </w:pPr>
      <w:rPr>
        <w:rFonts w:ascii="Arial" w:hAnsi="Arial" w:hint="default"/>
      </w:rPr>
    </w:lvl>
    <w:lvl w:ilvl="8" w:tplc="7D0E095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632DD8"/>
    <w:multiLevelType w:val="hybridMultilevel"/>
    <w:tmpl w:val="E6644D68"/>
    <w:lvl w:ilvl="0" w:tplc="E0EEABB4">
      <w:start w:val="1"/>
      <w:numFmt w:val="bullet"/>
      <w:lvlText w:val="•"/>
      <w:lvlJc w:val="left"/>
      <w:pPr>
        <w:tabs>
          <w:tab w:val="num" w:pos="360"/>
        </w:tabs>
        <w:ind w:left="360" w:hanging="360"/>
      </w:pPr>
      <w:rPr>
        <w:rFonts w:ascii="Arial" w:hAnsi="Arial" w:hint="default"/>
      </w:rPr>
    </w:lvl>
    <w:lvl w:ilvl="1" w:tplc="B8505C56">
      <w:start w:val="242"/>
      <w:numFmt w:val="bullet"/>
      <w:lvlText w:val="•"/>
      <w:lvlJc w:val="left"/>
      <w:pPr>
        <w:tabs>
          <w:tab w:val="num" w:pos="1080"/>
        </w:tabs>
        <w:ind w:left="1080" w:hanging="360"/>
      </w:pPr>
      <w:rPr>
        <w:rFonts w:ascii="Arial" w:hAnsi="Arial" w:hint="default"/>
      </w:rPr>
    </w:lvl>
    <w:lvl w:ilvl="2" w:tplc="DFE26C56">
      <w:start w:val="242"/>
      <w:numFmt w:val="bullet"/>
      <w:lvlText w:val="•"/>
      <w:lvlJc w:val="left"/>
      <w:pPr>
        <w:tabs>
          <w:tab w:val="num" w:pos="1800"/>
        </w:tabs>
        <w:ind w:left="1800" w:hanging="360"/>
      </w:pPr>
      <w:rPr>
        <w:rFonts w:ascii="Arial" w:hAnsi="Arial" w:hint="default"/>
      </w:rPr>
    </w:lvl>
    <w:lvl w:ilvl="3" w:tplc="9976DC82">
      <w:start w:val="242"/>
      <w:numFmt w:val="bullet"/>
      <w:lvlText w:val="•"/>
      <w:lvlJc w:val="left"/>
      <w:pPr>
        <w:tabs>
          <w:tab w:val="num" w:pos="2520"/>
        </w:tabs>
        <w:ind w:left="2520" w:hanging="360"/>
      </w:pPr>
      <w:rPr>
        <w:rFonts w:ascii="Arial" w:hAnsi="Arial" w:hint="default"/>
      </w:rPr>
    </w:lvl>
    <w:lvl w:ilvl="4" w:tplc="E5AA37AC" w:tentative="1">
      <w:start w:val="1"/>
      <w:numFmt w:val="bullet"/>
      <w:lvlText w:val="•"/>
      <w:lvlJc w:val="left"/>
      <w:pPr>
        <w:tabs>
          <w:tab w:val="num" w:pos="3240"/>
        </w:tabs>
        <w:ind w:left="3240" w:hanging="360"/>
      </w:pPr>
      <w:rPr>
        <w:rFonts w:ascii="Arial" w:hAnsi="Arial" w:hint="default"/>
      </w:rPr>
    </w:lvl>
    <w:lvl w:ilvl="5" w:tplc="3E22FC0C" w:tentative="1">
      <w:start w:val="1"/>
      <w:numFmt w:val="bullet"/>
      <w:lvlText w:val="•"/>
      <w:lvlJc w:val="left"/>
      <w:pPr>
        <w:tabs>
          <w:tab w:val="num" w:pos="3960"/>
        </w:tabs>
        <w:ind w:left="3960" w:hanging="360"/>
      </w:pPr>
      <w:rPr>
        <w:rFonts w:ascii="Arial" w:hAnsi="Arial" w:hint="default"/>
      </w:rPr>
    </w:lvl>
    <w:lvl w:ilvl="6" w:tplc="ED289B5E" w:tentative="1">
      <w:start w:val="1"/>
      <w:numFmt w:val="bullet"/>
      <w:lvlText w:val="•"/>
      <w:lvlJc w:val="left"/>
      <w:pPr>
        <w:tabs>
          <w:tab w:val="num" w:pos="4680"/>
        </w:tabs>
        <w:ind w:left="4680" w:hanging="360"/>
      </w:pPr>
      <w:rPr>
        <w:rFonts w:ascii="Arial" w:hAnsi="Arial" w:hint="default"/>
      </w:rPr>
    </w:lvl>
    <w:lvl w:ilvl="7" w:tplc="EDBAA9BE" w:tentative="1">
      <w:start w:val="1"/>
      <w:numFmt w:val="bullet"/>
      <w:lvlText w:val="•"/>
      <w:lvlJc w:val="left"/>
      <w:pPr>
        <w:tabs>
          <w:tab w:val="num" w:pos="5400"/>
        </w:tabs>
        <w:ind w:left="5400" w:hanging="360"/>
      </w:pPr>
      <w:rPr>
        <w:rFonts w:ascii="Arial" w:hAnsi="Arial" w:hint="default"/>
      </w:rPr>
    </w:lvl>
    <w:lvl w:ilvl="8" w:tplc="8818857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宋体" w:hAnsi="宋体" w:hint="default"/>
      </w:rPr>
    </w:lvl>
    <w:lvl w:ilvl="1" w:tplc="C61EE3FA">
      <w:start w:val="1"/>
      <w:numFmt w:val="bullet"/>
      <w:lvlText w:val="-"/>
      <w:lvlJc w:val="left"/>
      <w:pPr>
        <w:tabs>
          <w:tab w:val="num" w:pos="1440"/>
        </w:tabs>
        <w:ind w:left="1440" w:hanging="360"/>
      </w:pPr>
      <w:rPr>
        <w:rFonts w:ascii="宋体" w:hAnsi="宋体" w:hint="default"/>
      </w:rPr>
    </w:lvl>
    <w:lvl w:ilvl="2" w:tplc="88F0EA9E">
      <w:start w:val="1"/>
      <w:numFmt w:val="bullet"/>
      <w:lvlText w:val="-"/>
      <w:lvlJc w:val="left"/>
      <w:pPr>
        <w:tabs>
          <w:tab w:val="num" w:pos="2160"/>
        </w:tabs>
        <w:ind w:left="2160" w:hanging="360"/>
      </w:pPr>
      <w:rPr>
        <w:rFonts w:ascii="宋体" w:hAnsi="宋体" w:hint="default"/>
      </w:rPr>
    </w:lvl>
    <w:lvl w:ilvl="3" w:tplc="5E429294">
      <w:start w:val="1"/>
      <w:numFmt w:val="bullet"/>
      <w:lvlText w:val="-"/>
      <w:lvlJc w:val="left"/>
      <w:pPr>
        <w:tabs>
          <w:tab w:val="num" w:pos="2880"/>
        </w:tabs>
        <w:ind w:left="2880" w:hanging="360"/>
      </w:pPr>
      <w:rPr>
        <w:rFonts w:ascii="宋体" w:hAnsi="宋体" w:hint="default"/>
      </w:rPr>
    </w:lvl>
    <w:lvl w:ilvl="4" w:tplc="C7D83248" w:tentative="1">
      <w:start w:val="1"/>
      <w:numFmt w:val="bullet"/>
      <w:lvlText w:val="-"/>
      <w:lvlJc w:val="left"/>
      <w:pPr>
        <w:tabs>
          <w:tab w:val="num" w:pos="3600"/>
        </w:tabs>
        <w:ind w:left="3600" w:hanging="360"/>
      </w:pPr>
      <w:rPr>
        <w:rFonts w:ascii="宋体" w:hAnsi="宋体" w:hint="default"/>
      </w:rPr>
    </w:lvl>
    <w:lvl w:ilvl="5" w:tplc="7DCEE71A" w:tentative="1">
      <w:start w:val="1"/>
      <w:numFmt w:val="bullet"/>
      <w:lvlText w:val="-"/>
      <w:lvlJc w:val="left"/>
      <w:pPr>
        <w:tabs>
          <w:tab w:val="num" w:pos="4320"/>
        </w:tabs>
        <w:ind w:left="4320" w:hanging="360"/>
      </w:pPr>
      <w:rPr>
        <w:rFonts w:ascii="宋体" w:hAnsi="宋体" w:hint="default"/>
      </w:rPr>
    </w:lvl>
    <w:lvl w:ilvl="6" w:tplc="92CAEBE6" w:tentative="1">
      <w:start w:val="1"/>
      <w:numFmt w:val="bullet"/>
      <w:lvlText w:val="-"/>
      <w:lvlJc w:val="left"/>
      <w:pPr>
        <w:tabs>
          <w:tab w:val="num" w:pos="5040"/>
        </w:tabs>
        <w:ind w:left="5040" w:hanging="360"/>
      </w:pPr>
      <w:rPr>
        <w:rFonts w:ascii="宋体" w:hAnsi="宋体" w:hint="default"/>
      </w:rPr>
    </w:lvl>
    <w:lvl w:ilvl="7" w:tplc="607A90A4" w:tentative="1">
      <w:start w:val="1"/>
      <w:numFmt w:val="bullet"/>
      <w:lvlText w:val="-"/>
      <w:lvlJc w:val="left"/>
      <w:pPr>
        <w:tabs>
          <w:tab w:val="num" w:pos="5760"/>
        </w:tabs>
        <w:ind w:left="5760" w:hanging="360"/>
      </w:pPr>
      <w:rPr>
        <w:rFonts w:ascii="宋体" w:hAnsi="宋体" w:hint="default"/>
      </w:rPr>
    </w:lvl>
    <w:lvl w:ilvl="8" w:tplc="5F1AE000" w:tentative="1">
      <w:start w:val="1"/>
      <w:numFmt w:val="bullet"/>
      <w:lvlText w:val="-"/>
      <w:lvlJc w:val="left"/>
      <w:pPr>
        <w:tabs>
          <w:tab w:val="num" w:pos="6480"/>
        </w:tabs>
        <w:ind w:left="6480" w:hanging="360"/>
      </w:pPr>
      <w:rPr>
        <w:rFonts w:ascii="宋体" w:hAnsi="宋体" w:hint="default"/>
      </w:rPr>
    </w:lvl>
  </w:abstractNum>
  <w:abstractNum w:abstractNumId="31" w15:restartNumberingAfterBreak="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0D0EC9"/>
    <w:multiLevelType w:val="hybridMultilevel"/>
    <w:tmpl w:val="D10A1B3C"/>
    <w:lvl w:ilvl="0" w:tplc="3E28E322">
      <w:start w:val="1"/>
      <w:numFmt w:val="decimal"/>
      <w:lvlText w:val="%1."/>
      <w:lvlJc w:val="left"/>
      <w:pPr>
        <w:tabs>
          <w:tab w:val="num" w:pos="720"/>
        </w:tabs>
        <w:ind w:left="720" w:hanging="360"/>
      </w:pPr>
    </w:lvl>
    <w:lvl w:ilvl="1" w:tplc="4434FE00" w:tentative="1">
      <w:start w:val="1"/>
      <w:numFmt w:val="decimal"/>
      <w:lvlText w:val="%2."/>
      <w:lvlJc w:val="left"/>
      <w:pPr>
        <w:tabs>
          <w:tab w:val="num" w:pos="1440"/>
        </w:tabs>
        <w:ind w:left="1440" w:hanging="360"/>
      </w:pPr>
    </w:lvl>
    <w:lvl w:ilvl="2" w:tplc="05FE443A" w:tentative="1">
      <w:start w:val="1"/>
      <w:numFmt w:val="decimal"/>
      <w:lvlText w:val="%3."/>
      <w:lvlJc w:val="left"/>
      <w:pPr>
        <w:tabs>
          <w:tab w:val="num" w:pos="2160"/>
        </w:tabs>
        <w:ind w:left="2160" w:hanging="360"/>
      </w:pPr>
    </w:lvl>
    <w:lvl w:ilvl="3" w:tplc="E124AC8A" w:tentative="1">
      <w:start w:val="1"/>
      <w:numFmt w:val="decimal"/>
      <w:lvlText w:val="%4."/>
      <w:lvlJc w:val="left"/>
      <w:pPr>
        <w:tabs>
          <w:tab w:val="num" w:pos="2880"/>
        </w:tabs>
        <w:ind w:left="2880" w:hanging="360"/>
      </w:pPr>
    </w:lvl>
    <w:lvl w:ilvl="4" w:tplc="CCDA5CF6" w:tentative="1">
      <w:start w:val="1"/>
      <w:numFmt w:val="decimal"/>
      <w:lvlText w:val="%5."/>
      <w:lvlJc w:val="left"/>
      <w:pPr>
        <w:tabs>
          <w:tab w:val="num" w:pos="3600"/>
        </w:tabs>
        <w:ind w:left="3600" w:hanging="360"/>
      </w:pPr>
    </w:lvl>
    <w:lvl w:ilvl="5" w:tplc="A1D4D082" w:tentative="1">
      <w:start w:val="1"/>
      <w:numFmt w:val="decimal"/>
      <w:lvlText w:val="%6."/>
      <w:lvlJc w:val="left"/>
      <w:pPr>
        <w:tabs>
          <w:tab w:val="num" w:pos="4320"/>
        </w:tabs>
        <w:ind w:left="4320" w:hanging="360"/>
      </w:pPr>
    </w:lvl>
    <w:lvl w:ilvl="6" w:tplc="89FABA3A" w:tentative="1">
      <w:start w:val="1"/>
      <w:numFmt w:val="decimal"/>
      <w:lvlText w:val="%7."/>
      <w:lvlJc w:val="left"/>
      <w:pPr>
        <w:tabs>
          <w:tab w:val="num" w:pos="5040"/>
        </w:tabs>
        <w:ind w:left="5040" w:hanging="360"/>
      </w:pPr>
    </w:lvl>
    <w:lvl w:ilvl="7" w:tplc="C27E0516" w:tentative="1">
      <w:start w:val="1"/>
      <w:numFmt w:val="decimal"/>
      <w:lvlText w:val="%8."/>
      <w:lvlJc w:val="left"/>
      <w:pPr>
        <w:tabs>
          <w:tab w:val="num" w:pos="5760"/>
        </w:tabs>
        <w:ind w:left="5760" w:hanging="360"/>
      </w:pPr>
    </w:lvl>
    <w:lvl w:ilvl="8" w:tplc="6A7EF694" w:tentative="1">
      <w:start w:val="1"/>
      <w:numFmt w:val="decimal"/>
      <w:lvlText w:val="%9."/>
      <w:lvlJc w:val="left"/>
      <w:pPr>
        <w:tabs>
          <w:tab w:val="num" w:pos="6480"/>
        </w:tabs>
        <w:ind w:left="6480" w:hanging="360"/>
      </w:pPr>
    </w:lvl>
  </w:abstractNum>
  <w:abstractNum w:abstractNumId="33"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7040E30"/>
    <w:multiLevelType w:val="hybridMultilevel"/>
    <w:tmpl w:val="192AA390"/>
    <w:lvl w:ilvl="0" w:tplc="56F8EB60">
      <w:start w:val="1"/>
      <w:numFmt w:val="bullet"/>
      <w:lvlText w:val="•"/>
      <w:lvlJc w:val="left"/>
      <w:pPr>
        <w:tabs>
          <w:tab w:val="num" w:pos="720"/>
        </w:tabs>
        <w:ind w:left="720" w:hanging="360"/>
      </w:pPr>
      <w:rPr>
        <w:rFonts w:ascii="Arial" w:hAnsi="Arial" w:hint="default"/>
      </w:rPr>
    </w:lvl>
    <w:lvl w:ilvl="1" w:tplc="619ADDA6">
      <w:start w:val="1"/>
      <w:numFmt w:val="bullet"/>
      <w:lvlText w:val="•"/>
      <w:lvlJc w:val="left"/>
      <w:pPr>
        <w:tabs>
          <w:tab w:val="num" w:pos="1440"/>
        </w:tabs>
        <w:ind w:left="1440" w:hanging="360"/>
      </w:pPr>
      <w:rPr>
        <w:rFonts w:ascii="Arial" w:hAnsi="Arial" w:hint="default"/>
      </w:rPr>
    </w:lvl>
    <w:lvl w:ilvl="2" w:tplc="EC10BAEA">
      <w:start w:val="1"/>
      <w:numFmt w:val="bullet"/>
      <w:lvlText w:val="•"/>
      <w:lvlJc w:val="left"/>
      <w:pPr>
        <w:tabs>
          <w:tab w:val="num" w:pos="2160"/>
        </w:tabs>
        <w:ind w:left="2160" w:hanging="360"/>
      </w:pPr>
      <w:rPr>
        <w:rFonts w:ascii="Arial" w:hAnsi="Arial" w:hint="default"/>
      </w:rPr>
    </w:lvl>
    <w:lvl w:ilvl="3" w:tplc="5AE209CE" w:tentative="1">
      <w:start w:val="1"/>
      <w:numFmt w:val="bullet"/>
      <w:lvlText w:val="•"/>
      <w:lvlJc w:val="left"/>
      <w:pPr>
        <w:tabs>
          <w:tab w:val="num" w:pos="2880"/>
        </w:tabs>
        <w:ind w:left="2880" w:hanging="360"/>
      </w:pPr>
      <w:rPr>
        <w:rFonts w:ascii="Arial" w:hAnsi="Arial" w:hint="default"/>
      </w:rPr>
    </w:lvl>
    <w:lvl w:ilvl="4" w:tplc="6060A398" w:tentative="1">
      <w:start w:val="1"/>
      <w:numFmt w:val="bullet"/>
      <w:lvlText w:val="•"/>
      <w:lvlJc w:val="left"/>
      <w:pPr>
        <w:tabs>
          <w:tab w:val="num" w:pos="3600"/>
        </w:tabs>
        <w:ind w:left="3600" w:hanging="360"/>
      </w:pPr>
      <w:rPr>
        <w:rFonts w:ascii="Arial" w:hAnsi="Arial" w:hint="default"/>
      </w:rPr>
    </w:lvl>
    <w:lvl w:ilvl="5" w:tplc="68CA906E" w:tentative="1">
      <w:start w:val="1"/>
      <w:numFmt w:val="bullet"/>
      <w:lvlText w:val="•"/>
      <w:lvlJc w:val="left"/>
      <w:pPr>
        <w:tabs>
          <w:tab w:val="num" w:pos="4320"/>
        </w:tabs>
        <w:ind w:left="4320" w:hanging="360"/>
      </w:pPr>
      <w:rPr>
        <w:rFonts w:ascii="Arial" w:hAnsi="Arial" w:hint="default"/>
      </w:rPr>
    </w:lvl>
    <w:lvl w:ilvl="6" w:tplc="563E0C96" w:tentative="1">
      <w:start w:val="1"/>
      <w:numFmt w:val="bullet"/>
      <w:lvlText w:val="•"/>
      <w:lvlJc w:val="left"/>
      <w:pPr>
        <w:tabs>
          <w:tab w:val="num" w:pos="5040"/>
        </w:tabs>
        <w:ind w:left="5040" w:hanging="360"/>
      </w:pPr>
      <w:rPr>
        <w:rFonts w:ascii="Arial" w:hAnsi="Arial" w:hint="default"/>
      </w:rPr>
    </w:lvl>
    <w:lvl w:ilvl="7" w:tplc="5A0A9108" w:tentative="1">
      <w:start w:val="1"/>
      <w:numFmt w:val="bullet"/>
      <w:lvlText w:val="•"/>
      <w:lvlJc w:val="left"/>
      <w:pPr>
        <w:tabs>
          <w:tab w:val="num" w:pos="5760"/>
        </w:tabs>
        <w:ind w:left="5760" w:hanging="360"/>
      </w:pPr>
      <w:rPr>
        <w:rFonts w:ascii="Arial" w:hAnsi="Arial" w:hint="default"/>
      </w:rPr>
    </w:lvl>
    <w:lvl w:ilvl="8" w:tplc="80D0193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7" w15:restartNumberingAfterBreak="0">
    <w:nsid w:val="595A194D"/>
    <w:multiLevelType w:val="hybridMultilevel"/>
    <w:tmpl w:val="CBC835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35"/>
  </w:num>
  <w:num w:numId="9">
    <w:abstractNumId w:val="26"/>
  </w:num>
  <w:num w:numId="10">
    <w:abstractNumId w:val="22"/>
  </w:num>
  <w:num w:numId="11">
    <w:abstractNumId w:val="20"/>
  </w:num>
  <w:num w:numId="12">
    <w:abstractNumId w:val="12"/>
  </w:num>
  <w:num w:numId="13">
    <w:abstractNumId w:val="33"/>
  </w:num>
  <w:num w:numId="14">
    <w:abstractNumId w:val="19"/>
  </w:num>
  <w:num w:numId="15">
    <w:abstractNumId w:val="11"/>
  </w:num>
  <w:num w:numId="16">
    <w:abstractNumId w:val="41"/>
  </w:num>
  <w:num w:numId="17">
    <w:abstractNumId w:val="21"/>
  </w:num>
  <w:num w:numId="18">
    <w:abstractNumId w:val="39"/>
  </w:num>
  <w:num w:numId="19">
    <w:abstractNumId w:val="16"/>
  </w:num>
  <w:num w:numId="20">
    <w:abstractNumId w:val="25"/>
  </w:num>
  <w:num w:numId="21">
    <w:abstractNumId w:val="38"/>
  </w:num>
  <w:num w:numId="22">
    <w:abstractNumId w:val="42"/>
  </w:num>
  <w:num w:numId="23">
    <w:abstractNumId w:val="31"/>
  </w:num>
  <w:num w:numId="24">
    <w:abstractNumId w:val="28"/>
  </w:num>
  <w:num w:numId="25">
    <w:abstractNumId w:val="27"/>
  </w:num>
  <w:num w:numId="26">
    <w:abstractNumId w:val="40"/>
  </w:num>
  <w:num w:numId="27">
    <w:abstractNumId w:val="7"/>
  </w:num>
  <w:num w:numId="28">
    <w:abstractNumId w:val="29"/>
  </w:num>
  <w:num w:numId="29">
    <w:abstractNumId w:val="34"/>
  </w:num>
  <w:num w:numId="30">
    <w:abstractNumId w:val="37"/>
  </w:num>
  <w:num w:numId="31">
    <w:abstractNumId w:val="17"/>
  </w:num>
  <w:num w:numId="32">
    <w:abstractNumId w:val="36"/>
  </w:num>
  <w:num w:numId="33">
    <w:abstractNumId w:val="8"/>
  </w:num>
  <w:num w:numId="34">
    <w:abstractNumId w:val="14"/>
  </w:num>
  <w:num w:numId="35">
    <w:abstractNumId w:val="13"/>
  </w:num>
  <w:num w:numId="36">
    <w:abstractNumId w:val="10"/>
  </w:num>
  <w:num w:numId="37">
    <w:abstractNumId w:val="15"/>
  </w:num>
  <w:num w:numId="38">
    <w:abstractNumId w:val="18"/>
  </w:num>
  <w:num w:numId="39">
    <w:abstractNumId w:val="32"/>
  </w:num>
  <w:num w:numId="40">
    <w:abstractNumId w:val="24"/>
  </w:num>
  <w:num w:numId="41">
    <w:abstractNumId w:val="30"/>
  </w:num>
  <w:num w:numId="42">
    <w:abstractNumId w:val="9"/>
  </w:num>
  <w:num w:numId="4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3B41"/>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543C8"/>
    <w:rsid w:val="0006136D"/>
    <w:rsid w:val="00061E36"/>
    <w:rsid w:val="00062E39"/>
    <w:rsid w:val="00065FBC"/>
    <w:rsid w:val="00066825"/>
    <w:rsid w:val="000735D4"/>
    <w:rsid w:val="00077EB3"/>
    <w:rsid w:val="00085E46"/>
    <w:rsid w:val="000908D9"/>
    <w:rsid w:val="00091315"/>
    <w:rsid w:val="00092B0C"/>
    <w:rsid w:val="00097642"/>
    <w:rsid w:val="000A012E"/>
    <w:rsid w:val="000A28B3"/>
    <w:rsid w:val="000A355F"/>
    <w:rsid w:val="000A567D"/>
    <w:rsid w:val="000A643B"/>
    <w:rsid w:val="000A6859"/>
    <w:rsid w:val="000B0067"/>
    <w:rsid w:val="000B4F74"/>
    <w:rsid w:val="000B7218"/>
    <w:rsid w:val="000B7869"/>
    <w:rsid w:val="000C39B0"/>
    <w:rsid w:val="000C4BBC"/>
    <w:rsid w:val="000C678D"/>
    <w:rsid w:val="000D0679"/>
    <w:rsid w:val="000D1375"/>
    <w:rsid w:val="000D18EC"/>
    <w:rsid w:val="000D2B24"/>
    <w:rsid w:val="000D334B"/>
    <w:rsid w:val="000D58D3"/>
    <w:rsid w:val="000E0A10"/>
    <w:rsid w:val="000E26BD"/>
    <w:rsid w:val="000E2CF6"/>
    <w:rsid w:val="000E4512"/>
    <w:rsid w:val="000E596C"/>
    <w:rsid w:val="000E7126"/>
    <w:rsid w:val="000E7763"/>
    <w:rsid w:val="000F4FB3"/>
    <w:rsid w:val="000F502F"/>
    <w:rsid w:val="000F519D"/>
    <w:rsid w:val="000F65D1"/>
    <w:rsid w:val="000F7B37"/>
    <w:rsid w:val="000F7ECB"/>
    <w:rsid w:val="00100B99"/>
    <w:rsid w:val="001015AF"/>
    <w:rsid w:val="00104902"/>
    <w:rsid w:val="00105276"/>
    <w:rsid w:val="0010546D"/>
    <w:rsid w:val="0010618D"/>
    <w:rsid w:val="00110F74"/>
    <w:rsid w:val="00112950"/>
    <w:rsid w:val="00116429"/>
    <w:rsid w:val="00116811"/>
    <w:rsid w:val="00120CBF"/>
    <w:rsid w:val="001214AE"/>
    <w:rsid w:val="00122190"/>
    <w:rsid w:val="0012277A"/>
    <w:rsid w:val="0012444A"/>
    <w:rsid w:val="0012615B"/>
    <w:rsid w:val="00126E1A"/>
    <w:rsid w:val="00130E91"/>
    <w:rsid w:val="001315CB"/>
    <w:rsid w:val="00131AFF"/>
    <w:rsid w:val="00133395"/>
    <w:rsid w:val="001351EB"/>
    <w:rsid w:val="00135A74"/>
    <w:rsid w:val="00137200"/>
    <w:rsid w:val="0014069D"/>
    <w:rsid w:val="0014180B"/>
    <w:rsid w:val="00141F6D"/>
    <w:rsid w:val="00144F7C"/>
    <w:rsid w:val="00144FDD"/>
    <w:rsid w:val="00145F89"/>
    <w:rsid w:val="001512D7"/>
    <w:rsid w:val="00156359"/>
    <w:rsid w:val="001573DA"/>
    <w:rsid w:val="00157F16"/>
    <w:rsid w:val="00161C73"/>
    <w:rsid w:val="00164965"/>
    <w:rsid w:val="0016561A"/>
    <w:rsid w:val="00165F9B"/>
    <w:rsid w:val="00166E70"/>
    <w:rsid w:val="001706CE"/>
    <w:rsid w:val="00171914"/>
    <w:rsid w:val="00172F1E"/>
    <w:rsid w:val="00173477"/>
    <w:rsid w:val="001735AE"/>
    <w:rsid w:val="00176BE7"/>
    <w:rsid w:val="00180BAA"/>
    <w:rsid w:val="00186821"/>
    <w:rsid w:val="001927C1"/>
    <w:rsid w:val="00194778"/>
    <w:rsid w:val="001965EF"/>
    <w:rsid w:val="00196AD3"/>
    <w:rsid w:val="001A09A7"/>
    <w:rsid w:val="001A3577"/>
    <w:rsid w:val="001A5E68"/>
    <w:rsid w:val="001A65EF"/>
    <w:rsid w:val="001A6E64"/>
    <w:rsid w:val="001B07BB"/>
    <w:rsid w:val="001B3183"/>
    <w:rsid w:val="001B3471"/>
    <w:rsid w:val="001B515F"/>
    <w:rsid w:val="001B7369"/>
    <w:rsid w:val="001C055E"/>
    <w:rsid w:val="001C54B6"/>
    <w:rsid w:val="001C6513"/>
    <w:rsid w:val="001D2C8E"/>
    <w:rsid w:val="001D4399"/>
    <w:rsid w:val="001D69F3"/>
    <w:rsid w:val="001D747B"/>
    <w:rsid w:val="001E21C9"/>
    <w:rsid w:val="001E244E"/>
    <w:rsid w:val="001E3B48"/>
    <w:rsid w:val="001E4305"/>
    <w:rsid w:val="001E6D5E"/>
    <w:rsid w:val="001E7DE9"/>
    <w:rsid w:val="001F27BD"/>
    <w:rsid w:val="001F62BD"/>
    <w:rsid w:val="001F6791"/>
    <w:rsid w:val="001F7D2F"/>
    <w:rsid w:val="00200596"/>
    <w:rsid w:val="00201520"/>
    <w:rsid w:val="00201FB4"/>
    <w:rsid w:val="00202E77"/>
    <w:rsid w:val="00203D36"/>
    <w:rsid w:val="00204237"/>
    <w:rsid w:val="0021057E"/>
    <w:rsid w:val="0021098D"/>
    <w:rsid w:val="00213653"/>
    <w:rsid w:val="002141A0"/>
    <w:rsid w:val="00214B13"/>
    <w:rsid w:val="00214D24"/>
    <w:rsid w:val="002151EE"/>
    <w:rsid w:val="00216428"/>
    <w:rsid w:val="002167A7"/>
    <w:rsid w:val="002175EE"/>
    <w:rsid w:val="002208D9"/>
    <w:rsid w:val="00222D56"/>
    <w:rsid w:val="00222D66"/>
    <w:rsid w:val="00222E28"/>
    <w:rsid w:val="002267B2"/>
    <w:rsid w:val="00235EE7"/>
    <w:rsid w:val="0023778F"/>
    <w:rsid w:val="002414AB"/>
    <w:rsid w:val="00241773"/>
    <w:rsid w:val="00244785"/>
    <w:rsid w:val="002476C8"/>
    <w:rsid w:val="00251CFA"/>
    <w:rsid w:val="00253CE9"/>
    <w:rsid w:val="002553F6"/>
    <w:rsid w:val="00255DDC"/>
    <w:rsid w:val="00256DDC"/>
    <w:rsid w:val="0026064B"/>
    <w:rsid w:val="002611B2"/>
    <w:rsid w:val="00262F34"/>
    <w:rsid w:val="00266CCC"/>
    <w:rsid w:val="002702A8"/>
    <w:rsid w:val="002715F5"/>
    <w:rsid w:val="00271A13"/>
    <w:rsid w:val="00271A4B"/>
    <w:rsid w:val="00271E8B"/>
    <w:rsid w:val="00272536"/>
    <w:rsid w:val="002773CF"/>
    <w:rsid w:val="00280E6B"/>
    <w:rsid w:val="00281315"/>
    <w:rsid w:val="00281A87"/>
    <w:rsid w:val="00281EEF"/>
    <w:rsid w:val="002820E8"/>
    <w:rsid w:val="002927A0"/>
    <w:rsid w:val="00292875"/>
    <w:rsid w:val="00293D04"/>
    <w:rsid w:val="00293E95"/>
    <w:rsid w:val="002960BC"/>
    <w:rsid w:val="00296FE3"/>
    <w:rsid w:val="002A08FE"/>
    <w:rsid w:val="002A0EE7"/>
    <w:rsid w:val="002A1465"/>
    <w:rsid w:val="002A1534"/>
    <w:rsid w:val="002A1C01"/>
    <w:rsid w:val="002A27DD"/>
    <w:rsid w:val="002A35C0"/>
    <w:rsid w:val="002A482D"/>
    <w:rsid w:val="002A58FF"/>
    <w:rsid w:val="002B09A1"/>
    <w:rsid w:val="002B2704"/>
    <w:rsid w:val="002B2C8C"/>
    <w:rsid w:val="002B3F06"/>
    <w:rsid w:val="002B76BD"/>
    <w:rsid w:val="002C188C"/>
    <w:rsid w:val="002C4114"/>
    <w:rsid w:val="002C65B6"/>
    <w:rsid w:val="002C6F6F"/>
    <w:rsid w:val="002C7CB6"/>
    <w:rsid w:val="002D48CC"/>
    <w:rsid w:val="002D4CC7"/>
    <w:rsid w:val="002D4FBE"/>
    <w:rsid w:val="002D6A81"/>
    <w:rsid w:val="002D7345"/>
    <w:rsid w:val="002E00C3"/>
    <w:rsid w:val="002E1105"/>
    <w:rsid w:val="002E332E"/>
    <w:rsid w:val="002E50B6"/>
    <w:rsid w:val="002E7011"/>
    <w:rsid w:val="002F099C"/>
    <w:rsid w:val="002F1C8C"/>
    <w:rsid w:val="002F1E60"/>
    <w:rsid w:val="002F28ED"/>
    <w:rsid w:val="002F4B05"/>
    <w:rsid w:val="00300502"/>
    <w:rsid w:val="00302E72"/>
    <w:rsid w:val="003030FB"/>
    <w:rsid w:val="00306C18"/>
    <w:rsid w:val="0030770F"/>
    <w:rsid w:val="00314F38"/>
    <w:rsid w:val="003213CD"/>
    <w:rsid w:val="00323E33"/>
    <w:rsid w:val="00324D06"/>
    <w:rsid w:val="00331FD7"/>
    <w:rsid w:val="00333C34"/>
    <w:rsid w:val="00336024"/>
    <w:rsid w:val="00342C72"/>
    <w:rsid w:val="0034635A"/>
    <w:rsid w:val="003471BE"/>
    <w:rsid w:val="003476B3"/>
    <w:rsid w:val="00350C9A"/>
    <w:rsid w:val="00351D53"/>
    <w:rsid w:val="00352C22"/>
    <w:rsid w:val="003561F2"/>
    <w:rsid w:val="0035781C"/>
    <w:rsid w:val="0035796B"/>
    <w:rsid w:val="0036064E"/>
    <w:rsid w:val="00360EAB"/>
    <w:rsid w:val="00362184"/>
    <w:rsid w:val="003659AF"/>
    <w:rsid w:val="00365A0B"/>
    <w:rsid w:val="003665F7"/>
    <w:rsid w:val="00367DF1"/>
    <w:rsid w:val="003701E8"/>
    <w:rsid w:val="00372958"/>
    <w:rsid w:val="00375439"/>
    <w:rsid w:val="00375AA5"/>
    <w:rsid w:val="00375F76"/>
    <w:rsid w:val="00376926"/>
    <w:rsid w:val="00376FE4"/>
    <w:rsid w:val="00387300"/>
    <w:rsid w:val="0038770D"/>
    <w:rsid w:val="00392B77"/>
    <w:rsid w:val="00396CB4"/>
    <w:rsid w:val="0039732A"/>
    <w:rsid w:val="003A1D5C"/>
    <w:rsid w:val="003A281C"/>
    <w:rsid w:val="003A43B2"/>
    <w:rsid w:val="003A4CD3"/>
    <w:rsid w:val="003B2D77"/>
    <w:rsid w:val="003B3C8C"/>
    <w:rsid w:val="003B3F6F"/>
    <w:rsid w:val="003B4BF2"/>
    <w:rsid w:val="003B6C61"/>
    <w:rsid w:val="003B6F17"/>
    <w:rsid w:val="003C3383"/>
    <w:rsid w:val="003C35D6"/>
    <w:rsid w:val="003C6E6F"/>
    <w:rsid w:val="003D15E3"/>
    <w:rsid w:val="003D1BDE"/>
    <w:rsid w:val="003D1FB3"/>
    <w:rsid w:val="003D4428"/>
    <w:rsid w:val="003D570B"/>
    <w:rsid w:val="003D5A84"/>
    <w:rsid w:val="003E1C3F"/>
    <w:rsid w:val="003E244A"/>
    <w:rsid w:val="003E361E"/>
    <w:rsid w:val="003E45A0"/>
    <w:rsid w:val="003E4CBC"/>
    <w:rsid w:val="003E501D"/>
    <w:rsid w:val="003E722B"/>
    <w:rsid w:val="003F01CB"/>
    <w:rsid w:val="003F1C99"/>
    <w:rsid w:val="003F2104"/>
    <w:rsid w:val="003F30E0"/>
    <w:rsid w:val="003F6DA5"/>
    <w:rsid w:val="00401D41"/>
    <w:rsid w:val="004023A5"/>
    <w:rsid w:val="0040441D"/>
    <w:rsid w:val="004053CF"/>
    <w:rsid w:val="004062E5"/>
    <w:rsid w:val="00407CB8"/>
    <w:rsid w:val="00411A4E"/>
    <w:rsid w:val="004127B2"/>
    <w:rsid w:val="00412B1F"/>
    <w:rsid w:val="00413187"/>
    <w:rsid w:val="00413286"/>
    <w:rsid w:val="0041413C"/>
    <w:rsid w:val="00414CE5"/>
    <w:rsid w:val="00415D3D"/>
    <w:rsid w:val="00416764"/>
    <w:rsid w:val="00424D1C"/>
    <w:rsid w:val="00425E95"/>
    <w:rsid w:val="004300EC"/>
    <w:rsid w:val="00432734"/>
    <w:rsid w:val="00432D09"/>
    <w:rsid w:val="00435B76"/>
    <w:rsid w:val="00442646"/>
    <w:rsid w:val="00445676"/>
    <w:rsid w:val="0044617F"/>
    <w:rsid w:val="004509CB"/>
    <w:rsid w:val="004524FE"/>
    <w:rsid w:val="004541E5"/>
    <w:rsid w:val="0045428D"/>
    <w:rsid w:val="004544D6"/>
    <w:rsid w:val="00455A94"/>
    <w:rsid w:val="00456017"/>
    <w:rsid w:val="0045689F"/>
    <w:rsid w:val="0045723A"/>
    <w:rsid w:val="004579EA"/>
    <w:rsid w:val="00457F94"/>
    <w:rsid w:val="004601B1"/>
    <w:rsid w:val="004609D7"/>
    <w:rsid w:val="00462017"/>
    <w:rsid w:val="00466F25"/>
    <w:rsid w:val="004673F2"/>
    <w:rsid w:val="004708F7"/>
    <w:rsid w:val="00470E07"/>
    <w:rsid w:val="00471253"/>
    <w:rsid w:val="00474779"/>
    <w:rsid w:val="00474FE5"/>
    <w:rsid w:val="004775C3"/>
    <w:rsid w:val="00481250"/>
    <w:rsid w:val="004814D0"/>
    <w:rsid w:val="00481B29"/>
    <w:rsid w:val="00482C49"/>
    <w:rsid w:val="00484A20"/>
    <w:rsid w:val="00484C72"/>
    <w:rsid w:val="00493943"/>
    <w:rsid w:val="00493EAA"/>
    <w:rsid w:val="00496FBC"/>
    <w:rsid w:val="00497640"/>
    <w:rsid w:val="00497F17"/>
    <w:rsid w:val="004A1643"/>
    <w:rsid w:val="004A16AE"/>
    <w:rsid w:val="004A5A94"/>
    <w:rsid w:val="004A5BB3"/>
    <w:rsid w:val="004A729E"/>
    <w:rsid w:val="004A75DD"/>
    <w:rsid w:val="004B1191"/>
    <w:rsid w:val="004B37BC"/>
    <w:rsid w:val="004B3B08"/>
    <w:rsid w:val="004B6D91"/>
    <w:rsid w:val="004B6DB4"/>
    <w:rsid w:val="004B7001"/>
    <w:rsid w:val="004C1484"/>
    <w:rsid w:val="004C1B9B"/>
    <w:rsid w:val="004C256A"/>
    <w:rsid w:val="004C4B54"/>
    <w:rsid w:val="004C7E10"/>
    <w:rsid w:val="004D17AA"/>
    <w:rsid w:val="004D3585"/>
    <w:rsid w:val="004D43C9"/>
    <w:rsid w:val="004D59D7"/>
    <w:rsid w:val="004D7D70"/>
    <w:rsid w:val="004E0CCF"/>
    <w:rsid w:val="004E11D7"/>
    <w:rsid w:val="004E2A68"/>
    <w:rsid w:val="004E46A9"/>
    <w:rsid w:val="004F040C"/>
    <w:rsid w:val="004F6C74"/>
    <w:rsid w:val="005040C7"/>
    <w:rsid w:val="00505F2F"/>
    <w:rsid w:val="00506B82"/>
    <w:rsid w:val="00510657"/>
    <w:rsid w:val="005120D5"/>
    <w:rsid w:val="0051609F"/>
    <w:rsid w:val="005160BC"/>
    <w:rsid w:val="00516961"/>
    <w:rsid w:val="00521539"/>
    <w:rsid w:val="00523BBE"/>
    <w:rsid w:val="00524E6D"/>
    <w:rsid w:val="005266F8"/>
    <w:rsid w:val="005324DC"/>
    <w:rsid w:val="00532DE4"/>
    <w:rsid w:val="00532E55"/>
    <w:rsid w:val="00532EAA"/>
    <w:rsid w:val="005341AC"/>
    <w:rsid w:val="00534509"/>
    <w:rsid w:val="00545BAE"/>
    <w:rsid w:val="005520D7"/>
    <w:rsid w:val="005522C9"/>
    <w:rsid w:val="005536D9"/>
    <w:rsid w:val="00555A4B"/>
    <w:rsid w:val="00557A9B"/>
    <w:rsid w:val="00561A9E"/>
    <w:rsid w:val="00562289"/>
    <w:rsid w:val="00562430"/>
    <w:rsid w:val="00562DA2"/>
    <w:rsid w:val="0056467B"/>
    <w:rsid w:val="00566A51"/>
    <w:rsid w:val="00566BC5"/>
    <w:rsid w:val="00570432"/>
    <w:rsid w:val="00571120"/>
    <w:rsid w:val="0057452A"/>
    <w:rsid w:val="0057672A"/>
    <w:rsid w:val="0057762E"/>
    <w:rsid w:val="005839AE"/>
    <w:rsid w:val="0058669B"/>
    <w:rsid w:val="0059257A"/>
    <w:rsid w:val="005926BB"/>
    <w:rsid w:val="00594B0C"/>
    <w:rsid w:val="005950C9"/>
    <w:rsid w:val="0059740E"/>
    <w:rsid w:val="0059794A"/>
    <w:rsid w:val="00597FAA"/>
    <w:rsid w:val="005A0F40"/>
    <w:rsid w:val="005A11AB"/>
    <w:rsid w:val="005A15AB"/>
    <w:rsid w:val="005A376E"/>
    <w:rsid w:val="005A5500"/>
    <w:rsid w:val="005B03DB"/>
    <w:rsid w:val="005B07E1"/>
    <w:rsid w:val="005B16F2"/>
    <w:rsid w:val="005B191A"/>
    <w:rsid w:val="005B4A28"/>
    <w:rsid w:val="005B7B72"/>
    <w:rsid w:val="005C0D66"/>
    <w:rsid w:val="005C1194"/>
    <w:rsid w:val="005C11A1"/>
    <w:rsid w:val="005C40A7"/>
    <w:rsid w:val="005C63F7"/>
    <w:rsid w:val="005C7B6C"/>
    <w:rsid w:val="005D1530"/>
    <w:rsid w:val="005D1BD4"/>
    <w:rsid w:val="005D2017"/>
    <w:rsid w:val="005D2EF9"/>
    <w:rsid w:val="005D34F3"/>
    <w:rsid w:val="005D3879"/>
    <w:rsid w:val="005D487E"/>
    <w:rsid w:val="005E1B49"/>
    <w:rsid w:val="005E1DB3"/>
    <w:rsid w:val="005E2B0B"/>
    <w:rsid w:val="005E4466"/>
    <w:rsid w:val="005E4EAC"/>
    <w:rsid w:val="005E61DE"/>
    <w:rsid w:val="005E6E73"/>
    <w:rsid w:val="005E7040"/>
    <w:rsid w:val="005F1B4B"/>
    <w:rsid w:val="005F33D7"/>
    <w:rsid w:val="005F35A7"/>
    <w:rsid w:val="005F3C35"/>
    <w:rsid w:val="00600A82"/>
    <w:rsid w:val="0060357A"/>
    <w:rsid w:val="0060402D"/>
    <w:rsid w:val="00606A5C"/>
    <w:rsid w:val="006126E1"/>
    <w:rsid w:val="006138DF"/>
    <w:rsid w:val="00613A36"/>
    <w:rsid w:val="00614B5C"/>
    <w:rsid w:val="00615B9F"/>
    <w:rsid w:val="00620F8A"/>
    <w:rsid w:val="00627153"/>
    <w:rsid w:val="00633513"/>
    <w:rsid w:val="006360DE"/>
    <w:rsid w:val="00641460"/>
    <w:rsid w:val="00641885"/>
    <w:rsid w:val="00643254"/>
    <w:rsid w:val="006443D3"/>
    <w:rsid w:val="006449DA"/>
    <w:rsid w:val="006465F2"/>
    <w:rsid w:val="00647856"/>
    <w:rsid w:val="00652416"/>
    <w:rsid w:val="006529D4"/>
    <w:rsid w:val="00652FAC"/>
    <w:rsid w:val="0066106D"/>
    <w:rsid w:val="0066390C"/>
    <w:rsid w:val="00663B65"/>
    <w:rsid w:val="0066448B"/>
    <w:rsid w:val="00664963"/>
    <w:rsid w:val="00670183"/>
    <w:rsid w:val="00674D9B"/>
    <w:rsid w:val="0068118E"/>
    <w:rsid w:val="006834CE"/>
    <w:rsid w:val="00687DAF"/>
    <w:rsid w:val="00691155"/>
    <w:rsid w:val="00691500"/>
    <w:rsid w:val="00691C09"/>
    <w:rsid w:val="00694663"/>
    <w:rsid w:val="00694771"/>
    <w:rsid w:val="00695F3B"/>
    <w:rsid w:val="00695FED"/>
    <w:rsid w:val="006A0689"/>
    <w:rsid w:val="006A084D"/>
    <w:rsid w:val="006A3DD3"/>
    <w:rsid w:val="006A4B59"/>
    <w:rsid w:val="006A5A9F"/>
    <w:rsid w:val="006B00EC"/>
    <w:rsid w:val="006B1BAA"/>
    <w:rsid w:val="006B3E20"/>
    <w:rsid w:val="006B41F1"/>
    <w:rsid w:val="006B4A0C"/>
    <w:rsid w:val="006B4F48"/>
    <w:rsid w:val="006B592B"/>
    <w:rsid w:val="006B6FF5"/>
    <w:rsid w:val="006B7583"/>
    <w:rsid w:val="006C0280"/>
    <w:rsid w:val="006C14EE"/>
    <w:rsid w:val="006C3160"/>
    <w:rsid w:val="006C4938"/>
    <w:rsid w:val="006D02DA"/>
    <w:rsid w:val="006D0652"/>
    <w:rsid w:val="006D11E4"/>
    <w:rsid w:val="006D244C"/>
    <w:rsid w:val="006D4126"/>
    <w:rsid w:val="006D5E7B"/>
    <w:rsid w:val="006D7CD3"/>
    <w:rsid w:val="006D7F36"/>
    <w:rsid w:val="006E06A3"/>
    <w:rsid w:val="006E159B"/>
    <w:rsid w:val="006E1DCD"/>
    <w:rsid w:val="006E274D"/>
    <w:rsid w:val="006F0EDA"/>
    <w:rsid w:val="006F2300"/>
    <w:rsid w:val="006F5D2F"/>
    <w:rsid w:val="006F77A5"/>
    <w:rsid w:val="007009E6"/>
    <w:rsid w:val="0070412E"/>
    <w:rsid w:val="007059AA"/>
    <w:rsid w:val="00706B0F"/>
    <w:rsid w:val="007070AF"/>
    <w:rsid w:val="007077C3"/>
    <w:rsid w:val="00707BAC"/>
    <w:rsid w:val="00707C88"/>
    <w:rsid w:val="00713B49"/>
    <w:rsid w:val="00715008"/>
    <w:rsid w:val="00721F34"/>
    <w:rsid w:val="00722C80"/>
    <w:rsid w:val="007244F1"/>
    <w:rsid w:val="007254B7"/>
    <w:rsid w:val="007256B4"/>
    <w:rsid w:val="00725ADC"/>
    <w:rsid w:val="0073233C"/>
    <w:rsid w:val="00733CD6"/>
    <w:rsid w:val="00740D11"/>
    <w:rsid w:val="00741F57"/>
    <w:rsid w:val="007477B0"/>
    <w:rsid w:val="00752554"/>
    <w:rsid w:val="00753BFB"/>
    <w:rsid w:val="00756A12"/>
    <w:rsid w:val="00757789"/>
    <w:rsid w:val="00757E61"/>
    <w:rsid w:val="007628A2"/>
    <w:rsid w:val="00763E7F"/>
    <w:rsid w:val="00766B19"/>
    <w:rsid w:val="0077018C"/>
    <w:rsid w:val="00772B8A"/>
    <w:rsid w:val="00773D2F"/>
    <w:rsid w:val="00774F6F"/>
    <w:rsid w:val="007773D9"/>
    <w:rsid w:val="007816A2"/>
    <w:rsid w:val="007823A4"/>
    <w:rsid w:val="00783107"/>
    <w:rsid w:val="00787532"/>
    <w:rsid w:val="0079056A"/>
    <w:rsid w:val="00790715"/>
    <w:rsid w:val="00791CE3"/>
    <w:rsid w:val="00792165"/>
    <w:rsid w:val="00795AC4"/>
    <w:rsid w:val="00796075"/>
    <w:rsid w:val="007A1A88"/>
    <w:rsid w:val="007A1AB2"/>
    <w:rsid w:val="007A1C3F"/>
    <w:rsid w:val="007A305C"/>
    <w:rsid w:val="007A3E74"/>
    <w:rsid w:val="007A4163"/>
    <w:rsid w:val="007A7524"/>
    <w:rsid w:val="007A7D9F"/>
    <w:rsid w:val="007B0169"/>
    <w:rsid w:val="007B0DCB"/>
    <w:rsid w:val="007B1B75"/>
    <w:rsid w:val="007B487C"/>
    <w:rsid w:val="007B605F"/>
    <w:rsid w:val="007B63D8"/>
    <w:rsid w:val="007B6FCF"/>
    <w:rsid w:val="007C1BB2"/>
    <w:rsid w:val="007C40A9"/>
    <w:rsid w:val="007C4CA8"/>
    <w:rsid w:val="007C501E"/>
    <w:rsid w:val="007C6050"/>
    <w:rsid w:val="007C7B00"/>
    <w:rsid w:val="007D3C2D"/>
    <w:rsid w:val="007D7F6F"/>
    <w:rsid w:val="007E257A"/>
    <w:rsid w:val="007E62D2"/>
    <w:rsid w:val="007F53EB"/>
    <w:rsid w:val="007F5A2D"/>
    <w:rsid w:val="007F5E5A"/>
    <w:rsid w:val="007F698E"/>
    <w:rsid w:val="007F6D42"/>
    <w:rsid w:val="00801D2B"/>
    <w:rsid w:val="0080320A"/>
    <w:rsid w:val="00805A8B"/>
    <w:rsid w:val="00811641"/>
    <w:rsid w:val="00816A2B"/>
    <w:rsid w:val="0082323B"/>
    <w:rsid w:val="008260DD"/>
    <w:rsid w:val="00830C2E"/>
    <w:rsid w:val="008313D4"/>
    <w:rsid w:val="00835AEA"/>
    <w:rsid w:val="00840344"/>
    <w:rsid w:val="0084194E"/>
    <w:rsid w:val="00843682"/>
    <w:rsid w:val="00843945"/>
    <w:rsid w:val="00847E91"/>
    <w:rsid w:val="00850213"/>
    <w:rsid w:val="00851D3E"/>
    <w:rsid w:val="00852C43"/>
    <w:rsid w:val="00854CDE"/>
    <w:rsid w:val="008561B0"/>
    <w:rsid w:val="008616FC"/>
    <w:rsid w:val="00862D21"/>
    <w:rsid w:val="0086684B"/>
    <w:rsid w:val="0087296A"/>
    <w:rsid w:val="00873078"/>
    <w:rsid w:val="008763BE"/>
    <w:rsid w:val="008765FC"/>
    <w:rsid w:val="00877F4C"/>
    <w:rsid w:val="00881ABF"/>
    <w:rsid w:val="00881B6A"/>
    <w:rsid w:val="0088401B"/>
    <w:rsid w:val="00885E3A"/>
    <w:rsid w:val="0089500C"/>
    <w:rsid w:val="008A2D89"/>
    <w:rsid w:val="008A4C1E"/>
    <w:rsid w:val="008A54A4"/>
    <w:rsid w:val="008B016A"/>
    <w:rsid w:val="008B10A8"/>
    <w:rsid w:val="008B3FFC"/>
    <w:rsid w:val="008B5B7D"/>
    <w:rsid w:val="008C1A14"/>
    <w:rsid w:val="008C3CA2"/>
    <w:rsid w:val="008C48DA"/>
    <w:rsid w:val="008C661E"/>
    <w:rsid w:val="008C7F16"/>
    <w:rsid w:val="008D305A"/>
    <w:rsid w:val="008D438A"/>
    <w:rsid w:val="008D630E"/>
    <w:rsid w:val="008E1A41"/>
    <w:rsid w:val="008E2543"/>
    <w:rsid w:val="008E4057"/>
    <w:rsid w:val="008E4929"/>
    <w:rsid w:val="008E5530"/>
    <w:rsid w:val="008E725B"/>
    <w:rsid w:val="008F0CE0"/>
    <w:rsid w:val="008F1153"/>
    <w:rsid w:val="008F13B3"/>
    <w:rsid w:val="008F13D0"/>
    <w:rsid w:val="008F302B"/>
    <w:rsid w:val="008F3089"/>
    <w:rsid w:val="008F3EA8"/>
    <w:rsid w:val="008F5059"/>
    <w:rsid w:val="008F63B0"/>
    <w:rsid w:val="0090240B"/>
    <w:rsid w:val="0090385B"/>
    <w:rsid w:val="00904C58"/>
    <w:rsid w:val="009069EE"/>
    <w:rsid w:val="00906CD4"/>
    <w:rsid w:val="009074CF"/>
    <w:rsid w:val="009108B0"/>
    <w:rsid w:val="00912A00"/>
    <w:rsid w:val="00912B0E"/>
    <w:rsid w:val="00914BF2"/>
    <w:rsid w:val="00915AEB"/>
    <w:rsid w:val="00915ECD"/>
    <w:rsid w:val="00916F8E"/>
    <w:rsid w:val="009209E5"/>
    <w:rsid w:val="00921764"/>
    <w:rsid w:val="00921957"/>
    <w:rsid w:val="0092542D"/>
    <w:rsid w:val="009259C5"/>
    <w:rsid w:val="00926B77"/>
    <w:rsid w:val="00931C6F"/>
    <w:rsid w:val="00932943"/>
    <w:rsid w:val="00934028"/>
    <w:rsid w:val="0093408A"/>
    <w:rsid w:val="00934DE1"/>
    <w:rsid w:val="00935118"/>
    <w:rsid w:val="00936F1F"/>
    <w:rsid w:val="00940E80"/>
    <w:rsid w:val="0094130A"/>
    <w:rsid w:val="00943C8B"/>
    <w:rsid w:val="00945C06"/>
    <w:rsid w:val="009538ED"/>
    <w:rsid w:val="00954D53"/>
    <w:rsid w:val="00956109"/>
    <w:rsid w:val="00957424"/>
    <w:rsid w:val="0096054F"/>
    <w:rsid w:val="00960638"/>
    <w:rsid w:val="00960AB9"/>
    <w:rsid w:val="00962566"/>
    <w:rsid w:val="00964EE2"/>
    <w:rsid w:val="00966D05"/>
    <w:rsid w:val="009673C2"/>
    <w:rsid w:val="00967EF1"/>
    <w:rsid w:val="00970373"/>
    <w:rsid w:val="009718D1"/>
    <w:rsid w:val="00972F56"/>
    <w:rsid w:val="0097444C"/>
    <w:rsid w:val="0097566C"/>
    <w:rsid w:val="00976BAB"/>
    <w:rsid w:val="00977122"/>
    <w:rsid w:val="00983349"/>
    <w:rsid w:val="0098447D"/>
    <w:rsid w:val="00991B6D"/>
    <w:rsid w:val="0099203C"/>
    <w:rsid w:val="009925C5"/>
    <w:rsid w:val="009A0380"/>
    <w:rsid w:val="009A2557"/>
    <w:rsid w:val="009A35A6"/>
    <w:rsid w:val="009A43B7"/>
    <w:rsid w:val="009A4753"/>
    <w:rsid w:val="009A5E26"/>
    <w:rsid w:val="009B0424"/>
    <w:rsid w:val="009B100E"/>
    <w:rsid w:val="009B10AF"/>
    <w:rsid w:val="009B1137"/>
    <w:rsid w:val="009B15F9"/>
    <w:rsid w:val="009B2CCD"/>
    <w:rsid w:val="009B375B"/>
    <w:rsid w:val="009B430B"/>
    <w:rsid w:val="009B4544"/>
    <w:rsid w:val="009C054C"/>
    <w:rsid w:val="009C0B67"/>
    <w:rsid w:val="009C39D8"/>
    <w:rsid w:val="009C4322"/>
    <w:rsid w:val="009C6EAA"/>
    <w:rsid w:val="009C744F"/>
    <w:rsid w:val="009D21B1"/>
    <w:rsid w:val="009D45BE"/>
    <w:rsid w:val="009D4FA1"/>
    <w:rsid w:val="009D51F8"/>
    <w:rsid w:val="009D6F57"/>
    <w:rsid w:val="009D7AE6"/>
    <w:rsid w:val="009E08C2"/>
    <w:rsid w:val="009E2A58"/>
    <w:rsid w:val="009E3C2A"/>
    <w:rsid w:val="009E3E14"/>
    <w:rsid w:val="009E5228"/>
    <w:rsid w:val="009E54DA"/>
    <w:rsid w:val="009E60F6"/>
    <w:rsid w:val="009E6DAC"/>
    <w:rsid w:val="009F4D0F"/>
    <w:rsid w:val="00A02917"/>
    <w:rsid w:val="00A04F2A"/>
    <w:rsid w:val="00A05D9F"/>
    <w:rsid w:val="00A0699F"/>
    <w:rsid w:val="00A0774D"/>
    <w:rsid w:val="00A10D42"/>
    <w:rsid w:val="00A116A0"/>
    <w:rsid w:val="00A11A45"/>
    <w:rsid w:val="00A11B70"/>
    <w:rsid w:val="00A12371"/>
    <w:rsid w:val="00A167BE"/>
    <w:rsid w:val="00A17D67"/>
    <w:rsid w:val="00A2251C"/>
    <w:rsid w:val="00A25170"/>
    <w:rsid w:val="00A307F8"/>
    <w:rsid w:val="00A30923"/>
    <w:rsid w:val="00A315E3"/>
    <w:rsid w:val="00A34971"/>
    <w:rsid w:val="00A40FD1"/>
    <w:rsid w:val="00A45C69"/>
    <w:rsid w:val="00A46198"/>
    <w:rsid w:val="00A47107"/>
    <w:rsid w:val="00A477B2"/>
    <w:rsid w:val="00A517EF"/>
    <w:rsid w:val="00A51DCB"/>
    <w:rsid w:val="00A52B8B"/>
    <w:rsid w:val="00A53D14"/>
    <w:rsid w:val="00A53F81"/>
    <w:rsid w:val="00A54769"/>
    <w:rsid w:val="00A549C2"/>
    <w:rsid w:val="00A5551B"/>
    <w:rsid w:val="00A56496"/>
    <w:rsid w:val="00A57A92"/>
    <w:rsid w:val="00A6324D"/>
    <w:rsid w:val="00A65BFF"/>
    <w:rsid w:val="00A71D0A"/>
    <w:rsid w:val="00A72DC8"/>
    <w:rsid w:val="00A770F1"/>
    <w:rsid w:val="00A812C2"/>
    <w:rsid w:val="00A8315B"/>
    <w:rsid w:val="00A857B5"/>
    <w:rsid w:val="00A87689"/>
    <w:rsid w:val="00A90B8C"/>
    <w:rsid w:val="00A915BD"/>
    <w:rsid w:val="00A92091"/>
    <w:rsid w:val="00A93BFE"/>
    <w:rsid w:val="00A941AC"/>
    <w:rsid w:val="00A948A5"/>
    <w:rsid w:val="00A969ED"/>
    <w:rsid w:val="00AA0034"/>
    <w:rsid w:val="00AA0672"/>
    <w:rsid w:val="00AA32D4"/>
    <w:rsid w:val="00AA33EC"/>
    <w:rsid w:val="00AA3D9A"/>
    <w:rsid w:val="00AA4A5A"/>
    <w:rsid w:val="00AA57EC"/>
    <w:rsid w:val="00AA6AE6"/>
    <w:rsid w:val="00AA6C2D"/>
    <w:rsid w:val="00AB06A4"/>
    <w:rsid w:val="00AB357F"/>
    <w:rsid w:val="00AB66DB"/>
    <w:rsid w:val="00AB6DDF"/>
    <w:rsid w:val="00AC0742"/>
    <w:rsid w:val="00AC0BF0"/>
    <w:rsid w:val="00AC2AA6"/>
    <w:rsid w:val="00AC33F5"/>
    <w:rsid w:val="00AD3E3F"/>
    <w:rsid w:val="00AD4335"/>
    <w:rsid w:val="00AD6423"/>
    <w:rsid w:val="00AD73C1"/>
    <w:rsid w:val="00AD7D8B"/>
    <w:rsid w:val="00AE0DB0"/>
    <w:rsid w:val="00AE50D0"/>
    <w:rsid w:val="00AF0505"/>
    <w:rsid w:val="00AF2933"/>
    <w:rsid w:val="00AF3088"/>
    <w:rsid w:val="00AF5CBA"/>
    <w:rsid w:val="00AF5E77"/>
    <w:rsid w:val="00AF6AF2"/>
    <w:rsid w:val="00B00129"/>
    <w:rsid w:val="00B037F6"/>
    <w:rsid w:val="00B03E3A"/>
    <w:rsid w:val="00B05907"/>
    <w:rsid w:val="00B06EEB"/>
    <w:rsid w:val="00B074EB"/>
    <w:rsid w:val="00B07E87"/>
    <w:rsid w:val="00B10065"/>
    <w:rsid w:val="00B10A08"/>
    <w:rsid w:val="00B10E11"/>
    <w:rsid w:val="00B23705"/>
    <w:rsid w:val="00B23BF2"/>
    <w:rsid w:val="00B31916"/>
    <w:rsid w:val="00B33522"/>
    <w:rsid w:val="00B34509"/>
    <w:rsid w:val="00B3577D"/>
    <w:rsid w:val="00B3741F"/>
    <w:rsid w:val="00B37FCE"/>
    <w:rsid w:val="00B40E28"/>
    <w:rsid w:val="00B41800"/>
    <w:rsid w:val="00B420A4"/>
    <w:rsid w:val="00B42867"/>
    <w:rsid w:val="00B4352E"/>
    <w:rsid w:val="00B4457A"/>
    <w:rsid w:val="00B44EB4"/>
    <w:rsid w:val="00B450C4"/>
    <w:rsid w:val="00B45164"/>
    <w:rsid w:val="00B45DF2"/>
    <w:rsid w:val="00B46B41"/>
    <w:rsid w:val="00B504D0"/>
    <w:rsid w:val="00B5070C"/>
    <w:rsid w:val="00B51D56"/>
    <w:rsid w:val="00B5499F"/>
    <w:rsid w:val="00B5530A"/>
    <w:rsid w:val="00B57E31"/>
    <w:rsid w:val="00B60568"/>
    <w:rsid w:val="00B61AE2"/>
    <w:rsid w:val="00B6327D"/>
    <w:rsid w:val="00B74080"/>
    <w:rsid w:val="00B74655"/>
    <w:rsid w:val="00B74ADF"/>
    <w:rsid w:val="00B7523E"/>
    <w:rsid w:val="00B753CF"/>
    <w:rsid w:val="00B7550F"/>
    <w:rsid w:val="00B76020"/>
    <w:rsid w:val="00B765F8"/>
    <w:rsid w:val="00B772D6"/>
    <w:rsid w:val="00B7745E"/>
    <w:rsid w:val="00B77567"/>
    <w:rsid w:val="00B77B7C"/>
    <w:rsid w:val="00B80170"/>
    <w:rsid w:val="00B81F12"/>
    <w:rsid w:val="00B821E7"/>
    <w:rsid w:val="00B84460"/>
    <w:rsid w:val="00B857F9"/>
    <w:rsid w:val="00B86088"/>
    <w:rsid w:val="00B90EDB"/>
    <w:rsid w:val="00B9250E"/>
    <w:rsid w:val="00B94B0F"/>
    <w:rsid w:val="00B94E4F"/>
    <w:rsid w:val="00BA1B77"/>
    <w:rsid w:val="00BA22F3"/>
    <w:rsid w:val="00BA3C61"/>
    <w:rsid w:val="00BA4DF2"/>
    <w:rsid w:val="00BA7246"/>
    <w:rsid w:val="00BB0856"/>
    <w:rsid w:val="00BB140D"/>
    <w:rsid w:val="00BB2DCE"/>
    <w:rsid w:val="00BB43CE"/>
    <w:rsid w:val="00BC1273"/>
    <w:rsid w:val="00BC160C"/>
    <w:rsid w:val="00BC3508"/>
    <w:rsid w:val="00BE0EF3"/>
    <w:rsid w:val="00BE1BA1"/>
    <w:rsid w:val="00BE35C1"/>
    <w:rsid w:val="00BE3C14"/>
    <w:rsid w:val="00BE4CD1"/>
    <w:rsid w:val="00BF3C2F"/>
    <w:rsid w:val="00BF4421"/>
    <w:rsid w:val="00C00824"/>
    <w:rsid w:val="00C008BA"/>
    <w:rsid w:val="00C01262"/>
    <w:rsid w:val="00C02544"/>
    <w:rsid w:val="00C030D6"/>
    <w:rsid w:val="00C03FE3"/>
    <w:rsid w:val="00C050BC"/>
    <w:rsid w:val="00C062C8"/>
    <w:rsid w:val="00C06D5E"/>
    <w:rsid w:val="00C06E6E"/>
    <w:rsid w:val="00C07551"/>
    <w:rsid w:val="00C07B4C"/>
    <w:rsid w:val="00C10C7E"/>
    <w:rsid w:val="00C1142C"/>
    <w:rsid w:val="00C1219E"/>
    <w:rsid w:val="00C21C52"/>
    <w:rsid w:val="00C21D61"/>
    <w:rsid w:val="00C2400B"/>
    <w:rsid w:val="00C240C2"/>
    <w:rsid w:val="00C24348"/>
    <w:rsid w:val="00C25C5A"/>
    <w:rsid w:val="00C26E87"/>
    <w:rsid w:val="00C26F39"/>
    <w:rsid w:val="00C31CB6"/>
    <w:rsid w:val="00C32014"/>
    <w:rsid w:val="00C32114"/>
    <w:rsid w:val="00C32D04"/>
    <w:rsid w:val="00C33EEE"/>
    <w:rsid w:val="00C3557A"/>
    <w:rsid w:val="00C35C3E"/>
    <w:rsid w:val="00C45FFE"/>
    <w:rsid w:val="00C46A5D"/>
    <w:rsid w:val="00C51460"/>
    <w:rsid w:val="00C514B4"/>
    <w:rsid w:val="00C51D0C"/>
    <w:rsid w:val="00C550B3"/>
    <w:rsid w:val="00C56833"/>
    <w:rsid w:val="00C56E53"/>
    <w:rsid w:val="00C60AC9"/>
    <w:rsid w:val="00C629C7"/>
    <w:rsid w:val="00C64982"/>
    <w:rsid w:val="00C72880"/>
    <w:rsid w:val="00C743A6"/>
    <w:rsid w:val="00C747B4"/>
    <w:rsid w:val="00C74AEF"/>
    <w:rsid w:val="00C766A4"/>
    <w:rsid w:val="00C77F34"/>
    <w:rsid w:val="00C80F24"/>
    <w:rsid w:val="00C829AC"/>
    <w:rsid w:val="00C83458"/>
    <w:rsid w:val="00C83E56"/>
    <w:rsid w:val="00C87836"/>
    <w:rsid w:val="00C908CF"/>
    <w:rsid w:val="00C90FD3"/>
    <w:rsid w:val="00C95058"/>
    <w:rsid w:val="00C9521B"/>
    <w:rsid w:val="00CA123B"/>
    <w:rsid w:val="00CA134D"/>
    <w:rsid w:val="00CA3421"/>
    <w:rsid w:val="00CB1071"/>
    <w:rsid w:val="00CB171D"/>
    <w:rsid w:val="00CB317F"/>
    <w:rsid w:val="00CB635A"/>
    <w:rsid w:val="00CB6B45"/>
    <w:rsid w:val="00CB77B2"/>
    <w:rsid w:val="00CC1CFE"/>
    <w:rsid w:val="00CC2FB1"/>
    <w:rsid w:val="00CC358C"/>
    <w:rsid w:val="00CC3F06"/>
    <w:rsid w:val="00CD038F"/>
    <w:rsid w:val="00CD230E"/>
    <w:rsid w:val="00CD2E25"/>
    <w:rsid w:val="00CD36F5"/>
    <w:rsid w:val="00CD6C1C"/>
    <w:rsid w:val="00CD75B8"/>
    <w:rsid w:val="00CE3E8B"/>
    <w:rsid w:val="00CE47D2"/>
    <w:rsid w:val="00CE5127"/>
    <w:rsid w:val="00CE6D8D"/>
    <w:rsid w:val="00CF2230"/>
    <w:rsid w:val="00CF3165"/>
    <w:rsid w:val="00CF3819"/>
    <w:rsid w:val="00CF4CB6"/>
    <w:rsid w:val="00CF5F23"/>
    <w:rsid w:val="00CF69F2"/>
    <w:rsid w:val="00D16BC9"/>
    <w:rsid w:val="00D20034"/>
    <w:rsid w:val="00D210A7"/>
    <w:rsid w:val="00D21BE1"/>
    <w:rsid w:val="00D22E26"/>
    <w:rsid w:val="00D2529E"/>
    <w:rsid w:val="00D3208D"/>
    <w:rsid w:val="00D32C1B"/>
    <w:rsid w:val="00D33F43"/>
    <w:rsid w:val="00D35B3D"/>
    <w:rsid w:val="00D3699F"/>
    <w:rsid w:val="00D43454"/>
    <w:rsid w:val="00D43BEF"/>
    <w:rsid w:val="00D45657"/>
    <w:rsid w:val="00D462C9"/>
    <w:rsid w:val="00D5193D"/>
    <w:rsid w:val="00D52E46"/>
    <w:rsid w:val="00D57735"/>
    <w:rsid w:val="00D620BA"/>
    <w:rsid w:val="00D62530"/>
    <w:rsid w:val="00D65CEF"/>
    <w:rsid w:val="00D66097"/>
    <w:rsid w:val="00D709B7"/>
    <w:rsid w:val="00D72B6B"/>
    <w:rsid w:val="00D76DF6"/>
    <w:rsid w:val="00D81C65"/>
    <w:rsid w:val="00D834AB"/>
    <w:rsid w:val="00D84406"/>
    <w:rsid w:val="00D847E9"/>
    <w:rsid w:val="00D8500A"/>
    <w:rsid w:val="00D85229"/>
    <w:rsid w:val="00D879A4"/>
    <w:rsid w:val="00D87D1C"/>
    <w:rsid w:val="00D92533"/>
    <w:rsid w:val="00D92CB5"/>
    <w:rsid w:val="00DA1D30"/>
    <w:rsid w:val="00DA3470"/>
    <w:rsid w:val="00DA40CF"/>
    <w:rsid w:val="00DA529C"/>
    <w:rsid w:val="00DA5D84"/>
    <w:rsid w:val="00DA730B"/>
    <w:rsid w:val="00DA751F"/>
    <w:rsid w:val="00DB2F50"/>
    <w:rsid w:val="00DB6C32"/>
    <w:rsid w:val="00DC0E3F"/>
    <w:rsid w:val="00DC278D"/>
    <w:rsid w:val="00DC3625"/>
    <w:rsid w:val="00DC44B8"/>
    <w:rsid w:val="00DC5098"/>
    <w:rsid w:val="00DC5180"/>
    <w:rsid w:val="00DC62D9"/>
    <w:rsid w:val="00DC7967"/>
    <w:rsid w:val="00DD34BB"/>
    <w:rsid w:val="00DE00E1"/>
    <w:rsid w:val="00DE0CCB"/>
    <w:rsid w:val="00DE4EAA"/>
    <w:rsid w:val="00DE6A1E"/>
    <w:rsid w:val="00DF2FE5"/>
    <w:rsid w:val="00DF46FA"/>
    <w:rsid w:val="00E00A95"/>
    <w:rsid w:val="00E00D0C"/>
    <w:rsid w:val="00E0255A"/>
    <w:rsid w:val="00E030B8"/>
    <w:rsid w:val="00E03256"/>
    <w:rsid w:val="00E033EA"/>
    <w:rsid w:val="00E041FB"/>
    <w:rsid w:val="00E04A0D"/>
    <w:rsid w:val="00E059B5"/>
    <w:rsid w:val="00E06FE9"/>
    <w:rsid w:val="00E07046"/>
    <w:rsid w:val="00E074AF"/>
    <w:rsid w:val="00E07822"/>
    <w:rsid w:val="00E07880"/>
    <w:rsid w:val="00E15C74"/>
    <w:rsid w:val="00E15DB9"/>
    <w:rsid w:val="00E162EC"/>
    <w:rsid w:val="00E166DD"/>
    <w:rsid w:val="00E175AA"/>
    <w:rsid w:val="00E2087E"/>
    <w:rsid w:val="00E20DAE"/>
    <w:rsid w:val="00E23A92"/>
    <w:rsid w:val="00E243E8"/>
    <w:rsid w:val="00E30BA1"/>
    <w:rsid w:val="00E319A8"/>
    <w:rsid w:val="00E31C62"/>
    <w:rsid w:val="00E32B32"/>
    <w:rsid w:val="00E33715"/>
    <w:rsid w:val="00E33B8C"/>
    <w:rsid w:val="00E35269"/>
    <w:rsid w:val="00E35657"/>
    <w:rsid w:val="00E357E9"/>
    <w:rsid w:val="00E35FB3"/>
    <w:rsid w:val="00E3638E"/>
    <w:rsid w:val="00E37501"/>
    <w:rsid w:val="00E4016E"/>
    <w:rsid w:val="00E509F8"/>
    <w:rsid w:val="00E518A7"/>
    <w:rsid w:val="00E54351"/>
    <w:rsid w:val="00E549AB"/>
    <w:rsid w:val="00E5616F"/>
    <w:rsid w:val="00E56DB5"/>
    <w:rsid w:val="00E643B7"/>
    <w:rsid w:val="00E65216"/>
    <w:rsid w:val="00E705DB"/>
    <w:rsid w:val="00E70AD9"/>
    <w:rsid w:val="00E716B6"/>
    <w:rsid w:val="00E727F4"/>
    <w:rsid w:val="00E733D3"/>
    <w:rsid w:val="00E73716"/>
    <w:rsid w:val="00E73A82"/>
    <w:rsid w:val="00E73F5D"/>
    <w:rsid w:val="00E773F5"/>
    <w:rsid w:val="00E82F3C"/>
    <w:rsid w:val="00E82FBB"/>
    <w:rsid w:val="00E85889"/>
    <w:rsid w:val="00E85F30"/>
    <w:rsid w:val="00E8767B"/>
    <w:rsid w:val="00E90AB3"/>
    <w:rsid w:val="00E9253F"/>
    <w:rsid w:val="00E936EE"/>
    <w:rsid w:val="00E94FFB"/>
    <w:rsid w:val="00E954F6"/>
    <w:rsid w:val="00E956F0"/>
    <w:rsid w:val="00E96910"/>
    <w:rsid w:val="00EA33CB"/>
    <w:rsid w:val="00EA438F"/>
    <w:rsid w:val="00EB018E"/>
    <w:rsid w:val="00EB16E1"/>
    <w:rsid w:val="00EB1B75"/>
    <w:rsid w:val="00EB2720"/>
    <w:rsid w:val="00EB73E3"/>
    <w:rsid w:val="00EB750D"/>
    <w:rsid w:val="00EC56D8"/>
    <w:rsid w:val="00EC61AF"/>
    <w:rsid w:val="00ED1F03"/>
    <w:rsid w:val="00ED39CE"/>
    <w:rsid w:val="00ED414A"/>
    <w:rsid w:val="00ED5D70"/>
    <w:rsid w:val="00ED7B07"/>
    <w:rsid w:val="00EE4179"/>
    <w:rsid w:val="00EE45C2"/>
    <w:rsid w:val="00EE6D67"/>
    <w:rsid w:val="00EF1E99"/>
    <w:rsid w:val="00EF4DBE"/>
    <w:rsid w:val="00EF60CC"/>
    <w:rsid w:val="00EF7949"/>
    <w:rsid w:val="00F00686"/>
    <w:rsid w:val="00F011EE"/>
    <w:rsid w:val="00F03916"/>
    <w:rsid w:val="00F03A94"/>
    <w:rsid w:val="00F03E83"/>
    <w:rsid w:val="00F06468"/>
    <w:rsid w:val="00F06E5E"/>
    <w:rsid w:val="00F0720C"/>
    <w:rsid w:val="00F07CA3"/>
    <w:rsid w:val="00F1018C"/>
    <w:rsid w:val="00F13034"/>
    <w:rsid w:val="00F22B0E"/>
    <w:rsid w:val="00F26458"/>
    <w:rsid w:val="00F313FB"/>
    <w:rsid w:val="00F32110"/>
    <w:rsid w:val="00F322C2"/>
    <w:rsid w:val="00F33934"/>
    <w:rsid w:val="00F40717"/>
    <w:rsid w:val="00F4191D"/>
    <w:rsid w:val="00F427C6"/>
    <w:rsid w:val="00F435BC"/>
    <w:rsid w:val="00F44D73"/>
    <w:rsid w:val="00F46008"/>
    <w:rsid w:val="00F461DD"/>
    <w:rsid w:val="00F51864"/>
    <w:rsid w:val="00F56263"/>
    <w:rsid w:val="00F56FF3"/>
    <w:rsid w:val="00F5772C"/>
    <w:rsid w:val="00F62A38"/>
    <w:rsid w:val="00F63660"/>
    <w:rsid w:val="00F64BD9"/>
    <w:rsid w:val="00F675F1"/>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BFE"/>
    <w:rsid w:val="00F94ED5"/>
    <w:rsid w:val="00F95ED1"/>
    <w:rsid w:val="00F97180"/>
    <w:rsid w:val="00FA0787"/>
    <w:rsid w:val="00FA5152"/>
    <w:rsid w:val="00FA59F1"/>
    <w:rsid w:val="00FA695B"/>
    <w:rsid w:val="00FA6FCA"/>
    <w:rsid w:val="00FA7161"/>
    <w:rsid w:val="00FB12F1"/>
    <w:rsid w:val="00FB2922"/>
    <w:rsid w:val="00FB2CAD"/>
    <w:rsid w:val="00FB4B36"/>
    <w:rsid w:val="00FB54CE"/>
    <w:rsid w:val="00FB7964"/>
    <w:rsid w:val="00FC037D"/>
    <w:rsid w:val="00FC3E6D"/>
    <w:rsid w:val="00FC5DDC"/>
    <w:rsid w:val="00FC7B97"/>
    <w:rsid w:val="00FD022D"/>
    <w:rsid w:val="00FD44D3"/>
    <w:rsid w:val="00FD77DB"/>
    <w:rsid w:val="00FD7C6A"/>
    <w:rsid w:val="00FE023B"/>
    <w:rsid w:val="00FE1C35"/>
    <w:rsid w:val="00FE2D1E"/>
    <w:rsid w:val="00FE2D98"/>
    <w:rsid w:val="00FE3315"/>
    <w:rsid w:val="00FE3E52"/>
    <w:rsid w:val="00FE61C1"/>
    <w:rsid w:val="00FE6B2C"/>
    <w:rsid w:val="00FE6F16"/>
    <w:rsid w:val="00FE7048"/>
    <w:rsid w:val="00FE70F7"/>
    <w:rsid w:val="00FE7E51"/>
    <w:rsid w:val="00FF2AF6"/>
    <w:rsid w:val="00FF3407"/>
    <w:rsid w:val="00FF3540"/>
    <w:rsid w:val="00FF39FF"/>
    <w:rsid w:val="00FF62CA"/>
    <w:rsid w:val="00FF72CD"/>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5D941675-74AA-4981-AF1F-239964B42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4"/>
    <w:uiPriority w:val="34"/>
    <w:qFormat/>
    <w:rsid w:val="00FB2CAD"/>
    <w:pPr>
      <w:ind w:firstLineChars="200" w:firstLine="420"/>
    </w:pPr>
  </w:style>
  <w:style w:type="character" w:customStyle="1" w:styleId="Char4">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3"/>
    <w:uiPriority w:val="34"/>
    <w:qFormat/>
    <w:locked/>
    <w:rsid w:val="00643254"/>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27482">
      <w:bodyDiv w:val="1"/>
      <w:marLeft w:val="0"/>
      <w:marRight w:val="0"/>
      <w:marTop w:val="0"/>
      <w:marBottom w:val="0"/>
      <w:divBdr>
        <w:top w:val="none" w:sz="0" w:space="0" w:color="auto"/>
        <w:left w:val="none" w:sz="0" w:space="0" w:color="auto"/>
        <w:bottom w:val="none" w:sz="0" w:space="0" w:color="auto"/>
        <w:right w:val="none" w:sz="0" w:space="0" w:color="auto"/>
      </w:divBdr>
      <w:divsChild>
        <w:div w:id="963273958">
          <w:marLeft w:val="720"/>
          <w:marRight w:val="0"/>
          <w:marTop w:val="200"/>
          <w:marBottom w:val="0"/>
          <w:divBdr>
            <w:top w:val="none" w:sz="0" w:space="0" w:color="auto"/>
            <w:left w:val="none" w:sz="0" w:space="0" w:color="auto"/>
            <w:bottom w:val="none" w:sz="0" w:space="0" w:color="auto"/>
            <w:right w:val="none" w:sz="0" w:space="0" w:color="auto"/>
          </w:divBdr>
        </w:div>
      </w:divsChild>
    </w:div>
    <w:div w:id="77102546">
      <w:bodyDiv w:val="1"/>
      <w:marLeft w:val="0"/>
      <w:marRight w:val="0"/>
      <w:marTop w:val="0"/>
      <w:marBottom w:val="0"/>
      <w:divBdr>
        <w:top w:val="none" w:sz="0" w:space="0" w:color="auto"/>
        <w:left w:val="none" w:sz="0" w:space="0" w:color="auto"/>
        <w:bottom w:val="none" w:sz="0" w:space="0" w:color="auto"/>
        <w:right w:val="none" w:sz="0" w:space="0" w:color="auto"/>
      </w:divBdr>
    </w:div>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03659529">
      <w:bodyDiv w:val="1"/>
      <w:marLeft w:val="0"/>
      <w:marRight w:val="0"/>
      <w:marTop w:val="0"/>
      <w:marBottom w:val="0"/>
      <w:divBdr>
        <w:top w:val="none" w:sz="0" w:space="0" w:color="auto"/>
        <w:left w:val="none" w:sz="0" w:space="0" w:color="auto"/>
        <w:bottom w:val="none" w:sz="0" w:space="0" w:color="auto"/>
        <w:right w:val="none" w:sz="0" w:space="0" w:color="auto"/>
      </w:divBdr>
      <w:divsChild>
        <w:div w:id="886838512">
          <w:marLeft w:val="1166"/>
          <w:marRight w:val="0"/>
          <w:marTop w:val="134"/>
          <w:marBottom w:val="0"/>
          <w:divBdr>
            <w:top w:val="none" w:sz="0" w:space="0" w:color="auto"/>
            <w:left w:val="none" w:sz="0" w:space="0" w:color="auto"/>
            <w:bottom w:val="none" w:sz="0" w:space="0" w:color="auto"/>
            <w:right w:val="none" w:sz="0" w:space="0" w:color="auto"/>
          </w:divBdr>
        </w:div>
        <w:div w:id="1942491574">
          <w:marLeft w:val="1800"/>
          <w:marRight w:val="0"/>
          <w:marTop w:val="115"/>
          <w:marBottom w:val="0"/>
          <w:divBdr>
            <w:top w:val="none" w:sz="0" w:space="0" w:color="auto"/>
            <w:left w:val="none" w:sz="0" w:space="0" w:color="auto"/>
            <w:bottom w:val="none" w:sz="0" w:space="0" w:color="auto"/>
            <w:right w:val="none" w:sz="0" w:space="0" w:color="auto"/>
          </w:divBdr>
        </w:div>
      </w:divsChild>
    </w:div>
    <w:div w:id="347099159">
      <w:bodyDiv w:val="1"/>
      <w:marLeft w:val="0"/>
      <w:marRight w:val="0"/>
      <w:marTop w:val="0"/>
      <w:marBottom w:val="0"/>
      <w:divBdr>
        <w:top w:val="none" w:sz="0" w:space="0" w:color="auto"/>
        <w:left w:val="none" w:sz="0" w:space="0" w:color="auto"/>
        <w:bottom w:val="none" w:sz="0" w:space="0" w:color="auto"/>
        <w:right w:val="none" w:sz="0" w:space="0" w:color="auto"/>
      </w:divBdr>
      <w:divsChild>
        <w:div w:id="61606534">
          <w:marLeft w:val="1800"/>
          <w:marRight w:val="0"/>
          <w:marTop w:val="77"/>
          <w:marBottom w:val="0"/>
          <w:divBdr>
            <w:top w:val="none" w:sz="0" w:space="0" w:color="auto"/>
            <w:left w:val="none" w:sz="0" w:space="0" w:color="auto"/>
            <w:bottom w:val="none" w:sz="0" w:space="0" w:color="auto"/>
            <w:right w:val="none" w:sz="0" w:space="0" w:color="auto"/>
          </w:divBdr>
        </w:div>
        <w:div w:id="80638286">
          <w:marLeft w:val="1166"/>
          <w:marRight w:val="0"/>
          <w:marTop w:val="96"/>
          <w:marBottom w:val="0"/>
          <w:divBdr>
            <w:top w:val="none" w:sz="0" w:space="0" w:color="auto"/>
            <w:left w:val="none" w:sz="0" w:space="0" w:color="auto"/>
            <w:bottom w:val="none" w:sz="0" w:space="0" w:color="auto"/>
            <w:right w:val="none" w:sz="0" w:space="0" w:color="auto"/>
          </w:divBdr>
        </w:div>
        <w:div w:id="341977969">
          <w:marLeft w:val="1800"/>
          <w:marRight w:val="0"/>
          <w:marTop w:val="77"/>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898051897">
      <w:bodyDiv w:val="1"/>
      <w:marLeft w:val="0"/>
      <w:marRight w:val="0"/>
      <w:marTop w:val="0"/>
      <w:marBottom w:val="0"/>
      <w:divBdr>
        <w:top w:val="none" w:sz="0" w:space="0" w:color="auto"/>
        <w:left w:val="none" w:sz="0" w:space="0" w:color="auto"/>
        <w:bottom w:val="none" w:sz="0" w:space="0" w:color="auto"/>
        <w:right w:val="none" w:sz="0" w:space="0" w:color="auto"/>
      </w:divBdr>
      <w:divsChild>
        <w:div w:id="512959195">
          <w:marLeft w:val="2434"/>
          <w:marRight w:val="0"/>
          <w:marTop w:val="100"/>
          <w:marBottom w:val="0"/>
          <w:divBdr>
            <w:top w:val="none" w:sz="0" w:space="0" w:color="auto"/>
            <w:left w:val="none" w:sz="0" w:space="0" w:color="auto"/>
            <w:bottom w:val="none" w:sz="0" w:space="0" w:color="auto"/>
            <w:right w:val="none" w:sz="0" w:space="0" w:color="auto"/>
          </w:divBdr>
        </w:div>
        <w:div w:id="552694778">
          <w:marLeft w:val="2434"/>
          <w:marRight w:val="0"/>
          <w:marTop w:val="100"/>
          <w:marBottom w:val="0"/>
          <w:divBdr>
            <w:top w:val="none" w:sz="0" w:space="0" w:color="auto"/>
            <w:left w:val="none" w:sz="0" w:space="0" w:color="auto"/>
            <w:bottom w:val="none" w:sz="0" w:space="0" w:color="auto"/>
            <w:right w:val="none" w:sz="0" w:space="0" w:color="auto"/>
          </w:divBdr>
        </w:div>
        <w:div w:id="1674727020">
          <w:marLeft w:val="2434"/>
          <w:marRight w:val="0"/>
          <w:marTop w:val="100"/>
          <w:marBottom w:val="0"/>
          <w:divBdr>
            <w:top w:val="none" w:sz="0" w:space="0" w:color="auto"/>
            <w:left w:val="none" w:sz="0" w:space="0" w:color="auto"/>
            <w:bottom w:val="none" w:sz="0" w:space="0" w:color="auto"/>
            <w:right w:val="none" w:sz="0" w:space="0" w:color="auto"/>
          </w:divBdr>
        </w:div>
      </w:divsChild>
    </w:div>
    <w:div w:id="903872803">
      <w:bodyDiv w:val="1"/>
      <w:marLeft w:val="0"/>
      <w:marRight w:val="0"/>
      <w:marTop w:val="0"/>
      <w:marBottom w:val="0"/>
      <w:divBdr>
        <w:top w:val="none" w:sz="0" w:space="0" w:color="auto"/>
        <w:left w:val="none" w:sz="0" w:space="0" w:color="auto"/>
        <w:bottom w:val="none" w:sz="0" w:space="0" w:color="auto"/>
        <w:right w:val="none" w:sz="0" w:space="0" w:color="auto"/>
      </w:divBdr>
      <w:divsChild>
        <w:div w:id="310332000">
          <w:marLeft w:val="1080"/>
          <w:marRight w:val="0"/>
          <w:marTop w:val="100"/>
          <w:marBottom w:val="0"/>
          <w:divBdr>
            <w:top w:val="none" w:sz="0" w:space="0" w:color="auto"/>
            <w:left w:val="none" w:sz="0" w:space="0" w:color="auto"/>
            <w:bottom w:val="none" w:sz="0" w:space="0" w:color="auto"/>
            <w:right w:val="none" w:sz="0" w:space="0" w:color="auto"/>
          </w:divBdr>
        </w:div>
        <w:div w:id="434134304">
          <w:marLeft w:val="1800"/>
          <w:marRight w:val="0"/>
          <w:marTop w:val="100"/>
          <w:marBottom w:val="0"/>
          <w:divBdr>
            <w:top w:val="none" w:sz="0" w:space="0" w:color="auto"/>
            <w:left w:val="none" w:sz="0" w:space="0" w:color="auto"/>
            <w:bottom w:val="none" w:sz="0" w:space="0" w:color="auto"/>
            <w:right w:val="none" w:sz="0" w:space="0" w:color="auto"/>
          </w:divBdr>
        </w:div>
        <w:div w:id="585921522">
          <w:marLeft w:val="1080"/>
          <w:marRight w:val="0"/>
          <w:marTop w:val="100"/>
          <w:marBottom w:val="0"/>
          <w:divBdr>
            <w:top w:val="none" w:sz="0" w:space="0" w:color="auto"/>
            <w:left w:val="none" w:sz="0" w:space="0" w:color="auto"/>
            <w:bottom w:val="none" w:sz="0" w:space="0" w:color="auto"/>
            <w:right w:val="none" w:sz="0" w:space="0" w:color="auto"/>
          </w:divBdr>
        </w:div>
        <w:div w:id="992640412">
          <w:marLeft w:val="1800"/>
          <w:marRight w:val="0"/>
          <w:marTop w:val="100"/>
          <w:marBottom w:val="0"/>
          <w:divBdr>
            <w:top w:val="none" w:sz="0" w:space="0" w:color="auto"/>
            <w:left w:val="none" w:sz="0" w:space="0" w:color="auto"/>
            <w:bottom w:val="none" w:sz="0" w:space="0" w:color="auto"/>
            <w:right w:val="none" w:sz="0" w:space="0" w:color="auto"/>
          </w:divBdr>
        </w:div>
        <w:div w:id="1373731125">
          <w:marLeft w:val="1080"/>
          <w:marRight w:val="0"/>
          <w:marTop w:val="100"/>
          <w:marBottom w:val="0"/>
          <w:divBdr>
            <w:top w:val="none" w:sz="0" w:space="0" w:color="auto"/>
            <w:left w:val="none" w:sz="0" w:space="0" w:color="auto"/>
            <w:bottom w:val="none" w:sz="0" w:space="0" w:color="auto"/>
            <w:right w:val="none" w:sz="0" w:space="0" w:color="auto"/>
          </w:divBdr>
        </w:div>
        <w:div w:id="2065368262">
          <w:marLeft w:val="1800"/>
          <w:marRight w:val="0"/>
          <w:marTop w:val="100"/>
          <w:marBottom w:val="0"/>
          <w:divBdr>
            <w:top w:val="none" w:sz="0" w:space="0" w:color="auto"/>
            <w:left w:val="none" w:sz="0" w:space="0" w:color="auto"/>
            <w:bottom w:val="none" w:sz="0" w:space="0" w:color="auto"/>
            <w:right w:val="none" w:sz="0" w:space="0" w:color="auto"/>
          </w:divBdr>
        </w:div>
      </w:divsChild>
    </w:div>
    <w:div w:id="913784651">
      <w:bodyDiv w:val="1"/>
      <w:marLeft w:val="0"/>
      <w:marRight w:val="0"/>
      <w:marTop w:val="0"/>
      <w:marBottom w:val="0"/>
      <w:divBdr>
        <w:top w:val="none" w:sz="0" w:space="0" w:color="auto"/>
        <w:left w:val="none" w:sz="0" w:space="0" w:color="auto"/>
        <w:bottom w:val="none" w:sz="0" w:space="0" w:color="auto"/>
        <w:right w:val="none" w:sz="0" w:space="0" w:color="auto"/>
      </w:divBdr>
      <w:divsChild>
        <w:div w:id="354429513">
          <w:marLeft w:val="1800"/>
          <w:marRight w:val="0"/>
          <w:marTop w:val="86"/>
          <w:marBottom w:val="0"/>
          <w:divBdr>
            <w:top w:val="none" w:sz="0" w:space="0" w:color="auto"/>
            <w:left w:val="none" w:sz="0" w:space="0" w:color="auto"/>
            <w:bottom w:val="none" w:sz="0" w:space="0" w:color="auto"/>
            <w:right w:val="none" w:sz="0" w:space="0" w:color="auto"/>
          </w:divBdr>
        </w:div>
        <w:div w:id="412774691">
          <w:marLeft w:val="1800"/>
          <w:marRight w:val="0"/>
          <w:marTop w:val="86"/>
          <w:marBottom w:val="0"/>
          <w:divBdr>
            <w:top w:val="none" w:sz="0" w:space="0" w:color="auto"/>
            <w:left w:val="none" w:sz="0" w:space="0" w:color="auto"/>
            <w:bottom w:val="none" w:sz="0" w:space="0" w:color="auto"/>
            <w:right w:val="none" w:sz="0" w:space="0" w:color="auto"/>
          </w:divBdr>
        </w:div>
        <w:div w:id="1226256662">
          <w:marLeft w:val="2520"/>
          <w:marRight w:val="0"/>
          <w:marTop w:val="77"/>
          <w:marBottom w:val="0"/>
          <w:divBdr>
            <w:top w:val="none" w:sz="0" w:space="0" w:color="auto"/>
            <w:left w:val="none" w:sz="0" w:space="0" w:color="auto"/>
            <w:bottom w:val="none" w:sz="0" w:space="0" w:color="auto"/>
            <w:right w:val="none" w:sz="0" w:space="0" w:color="auto"/>
          </w:divBdr>
        </w:div>
        <w:div w:id="1541745302">
          <w:marLeft w:val="2520"/>
          <w:marRight w:val="0"/>
          <w:marTop w:val="77"/>
          <w:marBottom w:val="0"/>
          <w:divBdr>
            <w:top w:val="none" w:sz="0" w:space="0" w:color="auto"/>
            <w:left w:val="none" w:sz="0" w:space="0" w:color="auto"/>
            <w:bottom w:val="none" w:sz="0" w:space="0" w:color="auto"/>
            <w:right w:val="none" w:sz="0" w:space="0" w:color="auto"/>
          </w:divBdr>
        </w:div>
        <w:div w:id="1585189453">
          <w:marLeft w:val="2520"/>
          <w:marRight w:val="0"/>
          <w:marTop w:val="77"/>
          <w:marBottom w:val="0"/>
          <w:divBdr>
            <w:top w:val="none" w:sz="0" w:space="0" w:color="auto"/>
            <w:left w:val="none" w:sz="0" w:space="0" w:color="auto"/>
            <w:bottom w:val="none" w:sz="0" w:space="0" w:color="auto"/>
            <w:right w:val="none" w:sz="0" w:space="0" w:color="auto"/>
          </w:divBdr>
        </w:div>
        <w:div w:id="1957176318">
          <w:marLeft w:val="1166"/>
          <w:marRight w:val="0"/>
          <w:marTop w:val="96"/>
          <w:marBottom w:val="0"/>
          <w:divBdr>
            <w:top w:val="none" w:sz="0" w:space="0" w:color="auto"/>
            <w:left w:val="none" w:sz="0" w:space="0" w:color="auto"/>
            <w:bottom w:val="none" w:sz="0" w:space="0" w:color="auto"/>
            <w:right w:val="none" w:sz="0" w:space="0" w:color="auto"/>
          </w:divBdr>
        </w:div>
        <w:div w:id="1982726619">
          <w:marLeft w:val="2520"/>
          <w:marRight w:val="0"/>
          <w:marTop w:val="77"/>
          <w:marBottom w:val="0"/>
          <w:divBdr>
            <w:top w:val="none" w:sz="0" w:space="0" w:color="auto"/>
            <w:left w:val="none" w:sz="0" w:space="0" w:color="auto"/>
            <w:bottom w:val="none" w:sz="0" w:space="0" w:color="auto"/>
            <w:right w:val="none" w:sz="0" w:space="0" w:color="auto"/>
          </w:divBdr>
        </w:div>
      </w:divsChild>
    </w:div>
    <w:div w:id="938752918">
      <w:bodyDiv w:val="1"/>
      <w:marLeft w:val="0"/>
      <w:marRight w:val="0"/>
      <w:marTop w:val="0"/>
      <w:marBottom w:val="0"/>
      <w:divBdr>
        <w:top w:val="none" w:sz="0" w:space="0" w:color="auto"/>
        <w:left w:val="none" w:sz="0" w:space="0" w:color="auto"/>
        <w:bottom w:val="none" w:sz="0" w:space="0" w:color="auto"/>
        <w:right w:val="none" w:sz="0" w:space="0" w:color="auto"/>
      </w:divBdr>
      <w:divsChild>
        <w:div w:id="15548992">
          <w:marLeft w:val="2520"/>
          <w:marRight w:val="0"/>
          <w:marTop w:val="77"/>
          <w:marBottom w:val="0"/>
          <w:divBdr>
            <w:top w:val="none" w:sz="0" w:space="0" w:color="auto"/>
            <w:left w:val="none" w:sz="0" w:space="0" w:color="auto"/>
            <w:bottom w:val="none" w:sz="0" w:space="0" w:color="auto"/>
            <w:right w:val="none" w:sz="0" w:space="0" w:color="auto"/>
          </w:divBdr>
        </w:div>
        <w:div w:id="405420963">
          <w:marLeft w:val="1800"/>
          <w:marRight w:val="0"/>
          <w:marTop w:val="86"/>
          <w:marBottom w:val="0"/>
          <w:divBdr>
            <w:top w:val="none" w:sz="0" w:space="0" w:color="auto"/>
            <w:left w:val="none" w:sz="0" w:space="0" w:color="auto"/>
            <w:bottom w:val="none" w:sz="0" w:space="0" w:color="auto"/>
            <w:right w:val="none" w:sz="0" w:space="0" w:color="auto"/>
          </w:divBdr>
        </w:div>
        <w:div w:id="670372735">
          <w:marLeft w:val="2520"/>
          <w:marRight w:val="0"/>
          <w:marTop w:val="77"/>
          <w:marBottom w:val="0"/>
          <w:divBdr>
            <w:top w:val="none" w:sz="0" w:space="0" w:color="auto"/>
            <w:left w:val="none" w:sz="0" w:space="0" w:color="auto"/>
            <w:bottom w:val="none" w:sz="0" w:space="0" w:color="auto"/>
            <w:right w:val="none" w:sz="0" w:space="0" w:color="auto"/>
          </w:divBdr>
        </w:div>
        <w:div w:id="853609724">
          <w:marLeft w:val="2520"/>
          <w:marRight w:val="0"/>
          <w:marTop w:val="77"/>
          <w:marBottom w:val="0"/>
          <w:divBdr>
            <w:top w:val="none" w:sz="0" w:space="0" w:color="auto"/>
            <w:left w:val="none" w:sz="0" w:space="0" w:color="auto"/>
            <w:bottom w:val="none" w:sz="0" w:space="0" w:color="auto"/>
            <w:right w:val="none" w:sz="0" w:space="0" w:color="auto"/>
          </w:divBdr>
        </w:div>
        <w:div w:id="930821654">
          <w:marLeft w:val="1800"/>
          <w:marRight w:val="0"/>
          <w:marTop w:val="86"/>
          <w:marBottom w:val="0"/>
          <w:divBdr>
            <w:top w:val="none" w:sz="0" w:space="0" w:color="auto"/>
            <w:left w:val="none" w:sz="0" w:space="0" w:color="auto"/>
            <w:bottom w:val="none" w:sz="0" w:space="0" w:color="auto"/>
            <w:right w:val="none" w:sz="0" w:space="0" w:color="auto"/>
          </w:divBdr>
        </w:div>
        <w:div w:id="945310181">
          <w:marLeft w:val="1166"/>
          <w:marRight w:val="0"/>
          <w:marTop w:val="96"/>
          <w:marBottom w:val="0"/>
          <w:divBdr>
            <w:top w:val="none" w:sz="0" w:space="0" w:color="auto"/>
            <w:left w:val="none" w:sz="0" w:space="0" w:color="auto"/>
            <w:bottom w:val="none" w:sz="0" w:space="0" w:color="auto"/>
            <w:right w:val="none" w:sz="0" w:space="0" w:color="auto"/>
          </w:divBdr>
        </w:div>
        <w:div w:id="1880825184">
          <w:marLeft w:val="2520"/>
          <w:marRight w:val="0"/>
          <w:marTop w:val="77"/>
          <w:marBottom w:val="0"/>
          <w:divBdr>
            <w:top w:val="none" w:sz="0" w:space="0" w:color="auto"/>
            <w:left w:val="none" w:sz="0" w:space="0" w:color="auto"/>
            <w:bottom w:val="none" w:sz="0" w:space="0" w:color="auto"/>
            <w:right w:val="none" w:sz="0" w:space="0" w:color="auto"/>
          </w:divBdr>
        </w:div>
      </w:divsChild>
    </w:div>
    <w:div w:id="960037494">
      <w:bodyDiv w:val="1"/>
      <w:marLeft w:val="0"/>
      <w:marRight w:val="0"/>
      <w:marTop w:val="0"/>
      <w:marBottom w:val="0"/>
      <w:divBdr>
        <w:top w:val="none" w:sz="0" w:space="0" w:color="auto"/>
        <w:left w:val="none" w:sz="0" w:space="0" w:color="auto"/>
        <w:bottom w:val="none" w:sz="0" w:space="0" w:color="auto"/>
        <w:right w:val="none" w:sz="0" w:space="0" w:color="auto"/>
      </w:divBdr>
    </w:div>
    <w:div w:id="975184088">
      <w:bodyDiv w:val="1"/>
      <w:marLeft w:val="0"/>
      <w:marRight w:val="0"/>
      <w:marTop w:val="0"/>
      <w:marBottom w:val="0"/>
      <w:divBdr>
        <w:top w:val="none" w:sz="0" w:space="0" w:color="auto"/>
        <w:left w:val="none" w:sz="0" w:space="0" w:color="auto"/>
        <w:bottom w:val="none" w:sz="0" w:space="0" w:color="auto"/>
        <w:right w:val="none" w:sz="0" w:space="0" w:color="auto"/>
      </w:divBdr>
      <w:divsChild>
        <w:div w:id="270822969">
          <w:marLeft w:val="1080"/>
          <w:marRight w:val="0"/>
          <w:marTop w:val="100"/>
          <w:marBottom w:val="0"/>
          <w:divBdr>
            <w:top w:val="none" w:sz="0" w:space="0" w:color="auto"/>
            <w:left w:val="none" w:sz="0" w:space="0" w:color="auto"/>
            <w:bottom w:val="none" w:sz="0" w:space="0" w:color="auto"/>
            <w:right w:val="none" w:sz="0" w:space="0" w:color="auto"/>
          </w:divBdr>
        </w:div>
        <w:div w:id="384986271">
          <w:marLeft w:val="360"/>
          <w:marRight w:val="0"/>
          <w:marTop w:val="200"/>
          <w:marBottom w:val="0"/>
          <w:divBdr>
            <w:top w:val="none" w:sz="0" w:space="0" w:color="auto"/>
            <w:left w:val="none" w:sz="0" w:space="0" w:color="auto"/>
            <w:bottom w:val="none" w:sz="0" w:space="0" w:color="auto"/>
            <w:right w:val="none" w:sz="0" w:space="0" w:color="auto"/>
          </w:divBdr>
        </w:div>
        <w:div w:id="412245380">
          <w:marLeft w:val="1080"/>
          <w:marRight w:val="0"/>
          <w:marTop w:val="100"/>
          <w:marBottom w:val="0"/>
          <w:divBdr>
            <w:top w:val="none" w:sz="0" w:space="0" w:color="auto"/>
            <w:left w:val="none" w:sz="0" w:space="0" w:color="auto"/>
            <w:bottom w:val="none" w:sz="0" w:space="0" w:color="auto"/>
            <w:right w:val="none" w:sz="0" w:space="0" w:color="auto"/>
          </w:divBdr>
        </w:div>
        <w:div w:id="950092888">
          <w:marLeft w:val="1800"/>
          <w:marRight w:val="0"/>
          <w:marTop w:val="100"/>
          <w:marBottom w:val="0"/>
          <w:divBdr>
            <w:top w:val="none" w:sz="0" w:space="0" w:color="auto"/>
            <w:left w:val="none" w:sz="0" w:space="0" w:color="auto"/>
            <w:bottom w:val="none" w:sz="0" w:space="0" w:color="auto"/>
            <w:right w:val="none" w:sz="0" w:space="0" w:color="auto"/>
          </w:divBdr>
        </w:div>
        <w:div w:id="1071849939">
          <w:marLeft w:val="2520"/>
          <w:marRight w:val="0"/>
          <w:marTop w:val="100"/>
          <w:marBottom w:val="0"/>
          <w:divBdr>
            <w:top w:val="none" w:sz="0" w:space="0" w:color="auto"/>
            <w:left w:val="none" w:sz="0" w:space="0" w:color="auto"/>
            <w:bottom w:val="none" w:sz="0" w:space="0" w:color="auto"/>
            <w:right w:val="none" w:sz="0" w:space="0" w:color="auto"/>
          </w:divBdr>
        </w:div>
        <w:div w:id="1862864536">
          <w:marLeft w:val="2520"/>
          <w:marRight w:val="0"/>
          <w:marTop w:val="10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2122223">
      <w:bodyDiv w:val="1"/>
      <w:marLeft w:val="0"/>
      <w:marRight w:val="0"/>
      <w:marTop w:val="0"/>
      <w:marBottom w:val="0"/>
      <w:divBdr>
        <w:top w:val="none" w:sz="0" w:space="0" w:color="auto"/>
        <w:left w:val="none" w:sz="0" w:space="0" w:color="auto"/>
        <w:bottom w:val="none" w:sz="0" w:space="0" w:color="auto"/>
        <w:right w:val="none" w:sz="0" w:space="0" w:color="auto"/>
      </w:divBdr>
    </w:div>
    <w:div w:id="1073091059">
      <w:bodyDiv w:val="1"/>
      <w:marLeft w:val="0"/>
      <w:marRight w:val="0"/>
      <w:marTop w:val="0"/>
      <w:marBottom w:val="0"/>
      <w:divBdr>
        <w:top w:val="none" w:sz="0" w:space="0" w:color="auto"/>
        <w:left w:val="none" w:sz="0" w:space="0" w:color="auto"/>
        <w:bottom w:val="none" w:sz="0" w:space="0" w:color="auto"/>
        <w:right w:val="none" w:sz="0" w:space="0" w:color="auto"/>
      </w:divBdr>
      <w:divsChild>
        <w:div w:id="452942484">
          <w:marLeft w:val="1800"/>
          <w:marRight w:val="0"/>
          <w:marTop w:val="86"/>
          <w:marBottom w:val="0"/>
          <w:divBdr>
            <w:top w:val="none" w:sz="0" w:space="0" w:color="auto"/>
            <w:left w:val="none" w:sz="0" w:space="0" w:color="auto"/>
            <w:bottom w:val="none" w:sz="0" w:space="0" w:color="auto"/>
            <w:right w:val="none" w:sz="0" w:space="0" w:color="auto"/>
          </w:divBdr>
        </w:div>
        <w:div w:id="1560288003">
          <w:marLeft w:val="2520"/>
          <w:marRight w:val="0"/>
          <w:marTop w:val="82"/>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0830724">
      <w:bodyDiv w:val="1"/>
      <w:marLeft w:val="0"/>
      <w:marRight w:val="0"/>
      <w:marTop w:val="0"/>
      <w:marBottom w:val="0"/>
      <w:divBdr>
        <w:top w:val="none" w:sz="0" w:space="0" w:color="auto"/>
        <w:left w:val="none" w:sz="0" w:space="0" w:color="auto"/>
        <w:bottom w:val="none" w:sz="0" w:space="0" w:color="auto"/>
        <w:right w:val="none" w:sz="0" w:space="0" w:color="auto"/>
      </w:divBdr>
      <w:divsChild>
        <w:div w:id="117720931">
          <w:marLeft w:val="1080"/>
          <w:marRight w:val="0"/>
          <w:marTop w:val="100"/>
          <w:marBottom w:val="0"/>
          <w:divBdr>
            <w:top w:val="none" w:sz="0" w:space="0" w:color="auto"/>
            <w:left w:val="none" w:sz="0" w:space="0" w:color="auto"/>
            <w:bottom w:val="none" w:sz="0" w:space="0" w:color="auto"/>
            <w:right w:val="none" w:sz="0" w:space="0" w:color="auto"/>
          </w:divBdr>
        </w:div>
        <w:div w:id="235866278">
          <w:marLeft w:val="1800"/>
          <w:marRight w:val="0"/>
          <w:marTop w:val="100"/>
          <w:marBottom w:val="0"/>
          <w:divBdr>
            <w:top w:val="none" w:sz="0" w:space="0" w:color="auto"/>
            <w:left w:val="none" w:sz="0" w:space="0" w:color="auto"/>
            <w:bottom w:val="none" w:sz="0" w:space="0" w:color="auto"/>
            <w:right w:val="none" w:sz="0" w:space="0" w:color="auto"/>
          </w:divBdr>
        </w:div>
        <w:div w:id="845900810">
          <w:marLeft w:val="1800"/>
          <w:marRight w:val="0"/>
          <w:marTop w:val="100"/>
          <w:marBottom w:val="0"/>
          <w:divBdr>
            <w:top w:val="none" w:sz="0" w:space="0" w:color="auto"/>
            <w:left w:val="none" w:sz="0" w:space="0" w:color="auto"/>
            <w:bottom w:val="none" w:sz="0" w:space="0" w:color="auto"/>
            <w:right w:val="none" w:sz="0" w:space="0" w:color="auto"/>
          </w:divBdr>
        </w:div>
        <w:div w:id="895972248">
          <w:marLeft w:val="1080"/>
          <w:marRight w:val="0"/>
          <w:marTop w:val="100"/>
          <w:marBottom w:val="0"/>
          <w:divBdr>
            <w:top w:val="none" w:sz="0" w:space="0" w:color="auto"/>
            <w:left w:val="none" w:sz="0" w:space="0" w:color="auto"/>
            <w:bottom w:val="none" w:sz="0" w:space="0" w:color="auto"/>
            <w:right w:val="none" w:sz="0" w:space="0" w:color="auto"/>
          </w:divBdr>
        </w:div>
        <w:div w:id="1358697465">
          <w:marLeft w:val="1080"/>
          <w:marRight w:val="0"/>
          <w:marTop w:val="100"/>
          <w:marBottom w:val="0"/>
          <w:divBdr>
            <w:top w:val="none" w:sz="0" w:space="0" w:color="auto"/>
            <w:left w:val="none" w:sz="0" w:space="0" w:color="auto"/>
            <w:bottom w:val="none" w:sz="0" w:space="0" w:color="auto"/>
            <w:right w:val="none" w:sz="0" w:space="0" w:color="auto"/>
          </w:divBdr>
        </w:div>
        <w:div w:id="1382248198">
          <w:marLeft w:val="360"/>
          <w:marRight w:val="0"/>
          <w:marTop w:val="200"/>
          <w:marBottom w:val="0"/>
          <w:divBdr>
            <w:top w:val="none" w:sz="0" w:space="0" w:color="auto"/>
            <w:left w:val="none" w:sz="0" w:space="0" w:color="auto"/>
            <w:bottom w:val="none" w:sz="0" w:space="0" w:color="auto"/>
            <w:right w:val="none" w:sz="0" w:space="0" w:color="auto"/>
          </w:divBdr>
        </w:div>
        <w:div w:id="1849171593">
          <w:marLeft w:val="1080"/>
          <w:marRight w:val="0"/>
          <w:marTop w:val="100"/>
          <w:marBottom w:val="0"/>
          <w:divBdr>
            <w:top w:val="none" w:sz="0" w:space="0" w:color="auto"/>
            <w:left w:val="none" w:sz="0" w:space="0" w:color="auto"/>
            <w:bottom w:val="none" w:sz="0" w:space="0" w:color="auto"/>
            <w:right w:val="none" w:sz="0" w:space="0" w:color="auto"/>
          </w:divBdr>
        </w:div>
        <w:div w:id="1989821804">
          <w:marLeft w:val="360"/>
          <w:marRight w:val="0"/>
          <w:marTop w:val="200"/>
          <w:marBottom w:val="0"/>
          <w:divBdr>
            <w:top w:val="none" w:sz="0" w:space="0" w:color="auto"/>
            <w:left w:val="none" w:sz="0" w:space="0" w:color="auto"/>
            <w:bottom w:val="none" w:sz="0" w:space="0" w:color="auto"/>
            <w:right w:val="none" w:sz="0" w:space="0" w:color="auto"/>
          </w:divBdr>
        </w:div>
        <w:div w:id="2020697957">
          <w:marLeft w:val="1080"/>
          <w:marRight w:val="0"/>
          <w:marTop w:val="100"/>
          <w:marBottom w:val="0"/>
          <w:divBdr>
            <w:top w:val="none" w:sz="0" w:space="0" w:color="auto"/>
            <w:left w:val="none" w:sz="0" w:space="0" w:color="auto"/>
            <w:bottom w:val="none" w:sz="0" w:space="0" w:color="auto"/>
            <w:right w:val="none" w:sz="0" w:space="0" w:color="auto"/>
          </w:divBdr>
        </w:div>
      </w:divsChild>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1597382">
      <w:bodyDiv w:val="1"/>
      <w:marLeft w:val="0"/>
      <w:marRight w:val="0"/>
      <w:marTop w:val="0"/>
      <w:marBottom w:val="0"/>
      <w:divBdr>
        <w:top w:val="none" w:sz="0" w:space="0" w:color="auto"/>
        <w:left w:val="none" w:sz="0" w:space="0" w:color="auto"/>
        <w:bottom w:val="none" w:sz="0" w:space="0" w:color="auto"/>
        <w:right w:val="none" w:sz="0" w:space="0" w:color="auto"/>
      </w:divBdr>
      <w:divsChild>
        <w:div w:id="90786444">
          <w:marLeft w:val="2520"/>
          <w:marRight w:val="0"/>
          <w:marTop w:val="77"/>
          <w:marBottom w:val="0"/>
          <w:divBdr>
            <w:top w:val="none" w:sz="0" w:space="0" w:color="auto"/>
            <w:left w:val="none" w:sz="0" w:space="0" w:color="auto"/>
            <w:bottom w:val="none" w:sz="0" w:space="0" w:color="auto"/>
            <w:right w:val="none" w:sz="0" w:space="0" w:color="auto"/>
          </w:divBdr>
        </w:div>
        <w:div w:id="301035183">
          <w:marLeft w:val="1800"/>
          <w:marRight w:val="0"/>
          <w:marTop w:val="86"/>
          <w:marBottom w:val="0"/>
          <w:divBdr>
            <w:top w:val="none" w:sz="0" w:space="0" w:color="auto"/>
            <w:left w:val="none" w:sz="0" w:space="0" w:color="auto"/>
            <w:bottom w:val="none" w:sz="0" w:space="0" w:color="auto"/>
            <w:right w:val="none" w:sz="0" w:space="0" w:color="auto"/>
          </w:divBdr>
        </w:div>
        <w:div w:id="607394429">
          <w:marLeft w:val="1800"/>
          <w:marRight w:val="0"/>
          <w:marTop w:val="86"/>
          <w:marBottom w:val="0"/>
          <w:divBdr>
            <w:top w:val="none" w:sz="0" w:space="0" w:color="auto"/>
            <w:left w:val="none" w:sz="0" w:space="0" w:color="auto"/>
            <w:bottom w:val="none" w:sz="0" w:space="0" w:color="auto"/>
            <w:right w:val="none" w:sz="0" w:space="0" w:color="auto"/>
          </w:divBdr>
        </w:div>
        <w:div w:id="1617787635">
          <w:marLeft w:val="2520"/>
          <w:marRight w:val="0"/>
          <w:marTop w:val="77"/>
          <w:marBottom w:val="0"/>
          <w:divBdr>
            <w:top w:val="none" w:sz="0" w:space="0" w:color="auto"/>
            <w:left w:val="none" w:sz="0" w:space="0" w:color="auto"/>
            <w:bottom w:val="none" w:sz="0" w:space="0" w:color="auto"/>
            <w:right w:val="none" w:sz="0" w:space="0" w:color="auto"/>
          </w:divBdr>
        </w:div>
        <w:div w:id="1739009443">
          <w:marLeft w:val="1166"/>
          <w:marRight w:val="0"/>
          <w:marTop w:val="96"/>
          <w:marBottom w:val="0"/>
          <w:divBdr>
            <w:top w:val="none" w:sz="0" w:space="0" w:color="auto"/>
            <w:left w:val="none" w:sz="0" w:space="0" w:color="auto"/>
            <w:bottom w:val="none" w:sz="0" w:space="0" w:color="auto"/>
            <w:right w:val="none" w:sz="0" w:space="0" w:color="auto"/>
          </w:divBdr>
        </w:div>
        <w:div w:id="2104760678">
          <w:marLeft w:val="2520"/>
          <w:marRight w:val="0"/>
          <w:marTop w:val="77"/>
          <w:marBottom w:val="0"/>
          <w:divBdr>
            <w:top w:val="none" w:sz="0" w:space="0" w:color="auto"/>
            <w:left w:val="none" w:sz="0" w:space="0" w:color="auto"/>
            <w:bottom w:val="none" w:sz="0" w:space="0" w:color="auto"/>
            <w:right w:val="none" w:sz="0" w:space="0" w:color="auto"/>
          </w:divBdr>
        </w:div>
        <w:div w:id="2128809843">
          <w:marLeft w:val="2520"/>
          <w:marRight w:val="0"/>
          <w:marTop w:val="77"/>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1318174">
      <w:bodyDiv w:val="1"/>
      <w:marLeft w:val="0"/>
      <w:marRight w:val="0"/>
      <w:marTop w:val="0"/>
      <w:marBottom w:val="0"/>
      <w:divBdr>
        <w:top w:val="none" w:sz="0" w:space="0" w:color="auto"/>
        <w:left w:val="none" w:sz="0" w:space="0" w:color="auto"/>
        <w:bottom w:val="none" w:sz="0" w:space="0" w:color="auto"/>
        <w:right w:val="none" w:sz="0" w:space="0" w:color="auto"/>
      </w:divBdr>
      <w:divsChild>
        <w:div w:id="309671815">
          <w:marLeft w:val="2520"/>
          <w:marRight w:val="0"/>
          <w:marTop w:val="77"/>
          <w:marBottom w:val="0"/>
          <w:divBdr>
            <w:top w:val="none" w:sz="0" w:space="0" w:color="auto"/>
            <w:left w:val="none" w:sz="0" w:space="0" w:color="auto"/>
            <w:bottom w:val="none" w:sz="0" w:space="0" w:color="auto"/>
            <w:right w:val="none" w:sz="0" w:space="0" w:color="auto"/>
          </w:divBdr>
        </w:div>
        <w:div w:id="735394983">
          <w:marLeft w:val="1800"/>
          <w:marRight w:val="0"/>
          <w:marTop w:val="86"/>
          <w:marBottom w:val="0"/>
          <w:divBdr>
            <w:top w:val="none" w:sz="0" w:space="0" w:color="auto"/>
            <w:left w:val="none" w:sz="0" w:space="0" w:color="auto"/>
            <w:bottom w:val="none" w:sz="0" w:space="0" w:color="auto"/>
            <w:right w:val="none" w:sz="0" w:space="0" w:color="auto"/>
          </w:divBdr>
        </w:div>
        <w:div w:id="957107691">
          <w:marLeft w:val="1800"/>
          <w:marRight w:val="0"/>
          <w:marTop w:val="86"/>
          <w:marBottom w:val="0"/>
          <w:divBdr>
            <w:top w:val="none" w:sz="0" w:space="0" w:color="auto"/>
            <w:left w:val="none" w:sz="0" w:space="0" w:color="auto"/>
            <w:bottom w:val="none" w:sz="0" w:space="0" w:color="auto"/>
            <w:right w:val="none" w:sz="0" w:space="0" w:color="auto"/>
          </w:divBdr>
        </w:div>
        <w:div w:id="1054498733">
          <w:marLeft w:val="2520"/>
          <w:marRight w:val="0"/>
          <w:marTop w:val="77"/>
          <w:marBottom w:val="0"/>
          <w:divBdr>
            <w:top w:val="none" w:sz="0" w:space="0" w:color="auto"/>
            <w:left w:val="none" w:sz="0" w:space="0" w:color="auto"/>
            <w:bottom w:val="none" w:sz="0" w:space="0" w:color="auto"/>
            <w:right w:val="none" w:sz="0" w:space="0" w:color="auto"/>
          </w:divBdr>
        </w:div>
        <w:div w:id="1112045499">
          <w:marLeft w:val="1166"/>
          <w:marRight w:val="0"/>
          <w:marTop w:val="96"/>
          <w:marBottom w:val="0"/>
          <w:divBdr>
            <w:top w:val="none" w:sz="0" w:space="0" w:color="auto"/>
            <w:left w:val="none" w:sz="0" w:space="0" w:color="auto"/>
            <w:bottom w:val="none" w:sz="0" w:space="0" w:color="auto"/>
            <w:right w:val="none" w:sz="0" w:space="0" w:color="auto"/>
          </w:divBdr>
        </w:div>
        <w:div w:id="1585648443">
          <w:marLeft w:val="2520"/>
          <w:marRight w:val="0"/>
          <w:marTop w:val="77"/>
          <w:marBottom w:val="0"/>
          <w:divBdr>
            <w:top w:val="none" w:sz="0" w:space="0" w:color="auto"/>
            <w:left w:val="none" w:sz="0" w:space="0" w:color="auto"/>
            <w:bottom w:val="none" w:sz="0" w:space="0" w:color="auto"/>
            <w:right w:val="none" w:sz="0" w:space="0" w:color="auto"/>
          </w:divBdr>
        </w:div>
        <w:div w:id="1724019506">
          <w:marLeft w:val="2520"/>
          <w:marRight w:val="0"/>
          <w:marTop w:val="77"/>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86843658">
      <w:bodyDiv w:val="1"/>
      <w:marLeft w:val="0"/>
      <w:marRight w:val="0"/>
      <w:marTop w:val="0"/>
      <w:marBottom w:val="0"/>
      <w:divBdr>
        <w:top w:val="none" w:sz="0" w:space="0" w:color="auto"/>
        <w:left w:val="none" w:sz="0" w:space="0" w:color="auto"/>
        <w:bottom w:val="none" w:sz="0" w:space="0" w:color="auto"/>
        <w:right w:val="none" w:sz="0" w:space="0" w:color="auto"/>
      </w:divBdr>
      <w:divsChild>
        <w:div w:id="251817759">
          <w:marLeft w:val="1800"/>
          <w:marRight w:val="0"/>
          <w:marTop w:val="86"/>
          <w:marBottom w:val="0"/>
          <w:divBdr>
            <w:top w:val="none" w:sz="0" w:space="0" w:color="auto"/>
            <w:left w:val="none" w:sz="0" w:space="0" w:color="auto"/>
            <w:bottom w:val="none" w:sz="0" w:space="0" w:color="auto"/>
            <w:right w:val="none" w:sz="0" w:space="0" w:color="auto"/>
          </w:divBdr>
        </w:div>
        <w:div w:id="667682524">
          <w:marLeft w:val="1166"/>
          <w:marRight w:val="0"/>
          <w:marTop w:val="96"/>
          <w:marBottom w:val="0"/>
          <w:divBdr>
            <w:top w:val="none" w:sz="0" w:space="0" w:color="auto"/>
            <w:left w:val="none" w:sz="0" w:space="0" w:color="auto"/>
            <w:bottom w:val="none" w:sz="0" w:space="0" w:color="auto"/>
            <w:right w:val="none" w:sz="0" w:space="0" w:color="auto"/>
          </w:divBdr>
        </w:div>
        <w:div w:id="1063020851">
          <w:marLeft w:val="2520"/>
          <w:marRight w:val="0"/>
          <w:marTop w:val="77"/>
          <w:marBottom w:val="0"/>
          <w:divBdr>
            <w:top w:val="none" w:sz="0" w:space="0" w:color="auto"/>
            <w:left w:val="none" w:sz="0" w:space="0" w:color="auto"/>
            <w:bottom w:val="none" w:sz="0" w:space="0" w:color="auto"/>
            <w:right w:val="none" w:sz="0" w:space="0" w:color="auto"/>
          </w:divBdr>
        </w:div>
        <w:div w:id="1223100354">
          <w:marLeft w:val="2520"/>
          <w:marRight w:val="0"/>
          <w:marTop w:val="77"/>
          <w:marBottom w:val="0"/>
          <w:divBdr>
            <w:top w:val="none" w:sz="0" w:space="0" w:color="auto"/>
            <w:left w:val="none" w:sz="0" w:space="0" w:color="auto"/>
            <w:bottom w:val="none" w:sz="0" w:space="0" w:color="auto"/>
            <w:right w:val="none" w:sz="0" w:space="0" w:color="auto"/>
          </w:divBdr>
        </w:div>
        <w:div w:id="1389915136">
          <w:marLeft w:val="2520"/>
          <w:marRight w:val="0"/>
          <w:marTop w:val="77"/>
          <w:marBottom w:val="0"/>
          <w:divBdr>
            <w:top w:val="none" w:sz="0" w:space="0" w:color="auto"/>
            <w:left w:val="none" w:sz="0" w:space="0" w:color="auto"/>
            <w:bottom w:val="none" w:sz="0" w:space="0" w:color="auto"/>
            <w:right w:val="none" w:sz="0" w:space="0" w:color="auto"/>
          </w:divBdr>
        </w:div>
        <w:div w:id="1808544420">
          <w:marLeft w:val="2520"/>
          <w:marRight w:val="0"/>
          <w:marTop w:val="77"/>
          <w:marBottom w:val="0"/>
          <w:divBdr>
            <w:top w:val="none" w:sz="0" w:space="0" w:color="auto"/>
            <w:left w:val="none" w:sz="0" w:space="0" w:color="auto"/>
            <w:bottom w:val="none" w:sz="0" w:space="0" w:color="auto"/>
            <w:right w:val="none" w:sz="0" w:space="0" w:color="auto"/>
          </w:divBdr>
        </w:div>
        <w:div w:id="1927878050">
          <w:marLeft w:val="1800"/>
          <w:marRight w:val="0"/>
          <w:marTop w:val="86"/>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09255314">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2041644">
      <w:bodyDiv w:val="1"/>
      <w:marLeft w:val="0"/>
      <w:marRight w:val="0"/>
      <w:marTop w:val="0"/>
      <w:marBottom w:val="0"/>
      <w:divBdr>
        <w:top w:val="none" w:sz="0" w:space="0" w:color="auto"/>
        <w:left w:val="none" w:sz="0" w:space="0" w:color="auto"/>
        <w:bottom w:val="none" w:sz="0" w:space="0" w:color="auto"/>
        <w:right w:val="none" w:sz="0" w:space="0" w:color="auto"/>
      </w:divBdr>
      <w:divsChild>
        <w:div w:id="482157539">
          <w:marLeft w:val="1800"/>
          <w:marRight w:val="0"/>
          <w:marTop w:val="77"/>
          <w:marBottom w:val="0"/>
          <w:divBdr>
            <w:top w:val="none" w:sz="0" w:space="0" w:color="auto"/>
            <w:left w:val="none" w:sz="0" w:space="0" w:color="auto"/>
            <w:bottom w:val="none" w:sz="0" w:space="0" w:color="auto"/>
            <w:right w:val="none" w:sz="0" w:space="0" w:color="auto"/>
          </w:divBdr>
        </w:div>
        <w:div w:id="532888646">
          <w:marLeft w:val="1800"/>
          <w:marRight w:val="0"/>
          <w:marTop w:val="77"/>
          <w:marBottom w:val="0"/>
          <w:divBdr>
            <w:top w:val="none" w:sz="0" w:space="0" w:color="auto"/>
            <w:left w:val="none" w:sz="0" w:space="0" w:color="auto"/>
            <w:bottom w:val="none" w:sz="0" w:space="0" w:color="auto"/>
            <w:right w:val="none" w:sz="0" w:space="0" w:color="auto"/>
          </w:divBdr>
        </w:div>
        <w:div w:id="1379621451">
          <w:marLeft w:val="1166"/>
          <w:marRight w:val="0"/>
          <w:marTop w:val="96"/>
          <w:marBottom w:val="0"/>
          <w:divBdr>
            <w:top w:val="none" w:sz="0" w:space="0" w:color="auto"/>
            <w:left w:val="none" w:sz="0" w:space="0" w:color="auto"/>
            <w:bottom w:val="none" w:sz="0" w:space="0" w:color="auto"/>
            <w:right w:val="none" w:sz="0" w:space="0" w:color="auto"/>
          </w:divBdr>
        </w:div>
        <w:div w:id="1418752071">
          <w:marLeft w:val="1800"/>
          <w:marRight w:val="0"/>
          <w:marTop w:val="77"/>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54050443">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77641277">
      <w:bodyDiv w:val="1"/>
      <w:marLeft w:val="0"/>
      <w:marRight w:val="0"/>
      <w:marTop w:val="0"/>
      <w:marBottom w:val="0"/>
      <w:divBdr>
        <w:top w:val="none" w:sz="0" w:space="0" w:color="auto"/>
        <w:left w:val="none" w:sz="0" w:space="0" w:color="auto"/>
        <w:bottom w:val="none" w:sz="0" w:space="0" w:color="auto"/>
        <w:right w:val="none" w:sz="0" w:space="0" w:color="auto"/>
      </w:divBdr>
      <w:divsChild>
        <w:div w:id="685794859">
          <w:marLeft w:val="1080"/>
          <w:marRight w:val="0"/>
          <w:marTop w:val="100"/>
          <w:marBottom w:val="0"/>
          <w:divBdr>
            <w:top w:val="none" w:sz="0" w:space="0" w:color="auto"/>
            <w:left w:val="none" w:sz="0" w:space="0" w:color="auto"/>
            <w:bottom w:val="none" w:sz="0" w:space="0" w:color="auto"/>
            <w:right w:val="none" w:sz="0" w:space="0" w:color="auto"/>
          </w:divBdr>
        </w:div>
        <w:div w:id="943655529">
          <w:marLeft w:val="1080"/>
          <w:marRight w:val="0"/>
          <w:marTop w:val="100"/>
          <w:marBottom w:val="0"/>
          <w:divBdr>
            <w:top w:val="none" w:sz="0" w:space="0" w:color="auto"/>
            <w:left w:val="none" w:sz="0" w:space="0" w:color="auto"/>
            <w:bottom w:val="none" w:sz="0" w:space="0" w:color="auto"/>
            <w:right w:val="none" w:sz="0" w:space="0" w:color="auto"/>
          </w:divBdr>
        </w:div>
        <w:div w:id="147367147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7.wmf"/><Relationship Id="rId2" Type="http://schemas.openxmlformats.org/officeDocument/2006/relationships/numbering" Target="numbering.xml"/><Relationship Id="rId16"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1E5D8-25B3-4018-AAB6-D58CFDBB9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5273</TotalTime>
  <Pages>2</Pages>
  <Words>415</Words>
  <Characters>2371</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4</cp:revision>
  <cp:lastPrinted>2020-04-08T05:49:00Z</cp:lastPrinted>
  <dcterms:created xsi:type="dcterms:W3CDTF">2020-04-08T09:11:00Z</dcterms:created>
  <dcterms:modified xsi:type="dcterms:W3CDTF">2021-05-11T02:29:00Z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